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olors1.xml" ContentType="application/vnd.ms-office.chartcolorstyle+xml"/>
  <Override PartName="/word/charts/style1.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FC3" w:rsidRDefault="00E8231D" w:rsidP="00902DC7">
      <w:pPr>
        <w:spacing w:after="0"/>
        <w:jc w:val="center"/>
      </w:pPr>
      <w:bookmarkStart w:id="0" w:name="_GoBack"/>
      <w:bookmarkEnd w:id="0"/>
      <w:r>
        <w:rPr>
          <w:noProof/>
        </w:rPr>
        <w:drawing>
          <wp:inline distT="0" distB="0" distL="0" distR="0">
            <wp:extent cx="2536931" cy="102255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WH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51569" cy="1028455"/>
                    </a:xfrm>
                    <a:prstGeom prst="rect">
                      <a:avLst/>
                    </a:prstGeom>
                  </pic:spPr>
                </pic:pic>
              </a:graphicData>
            </a:graphic>
          </wp:inline>
        </w:drawing>
      </w:r>
    </w:p>
    <w:p w:rsidR="00C00933" w:rsidRDefault="00C00933" w:rsidP="00E8231D">
      <w:pPr>
        <w:spacing w:after="0"/>
      </w:pPr>
    </w:p>
    <w:p w:rsidR="00DA207A" w:rsidRDefault="00DA207A" w:rsidP="00E8231D">
      <w:pPr>
        <w:spacing w:after="0"/>
      </w:pPr>
    </w:p>
    <w:p w:rsidR="00FB3EFA" w:rsidRDefault="00902DC7" w:rsidP="00E8231D">
      <w:pPr>
        <w:spacing w:after="0"/>
        <w:rPr>
          <w:b/>
        </w:rPr>
      </w:pPr>
      <w:r>
        <w:rPr>
          <w:b/>
        </w:rPr>
        <w:t>Program Overview</w:t>
      </w:r>
    </w:p>
    <w:p w:rsidR="00DA207A" w:rsidRPr="00DA207A" w:rsidRDefault="00DA207A" w:rsidP="00E8231D">
      <w:pPr>
        <w:spacing w:after="0"/>
        <w:rPr>
          <w:b/>
        </w:rPr>
      </w:pPr>
    </w:p>
    <w:p w:rsidR="00E8231D" w:rsidRDefault="00FB3EFA" w:rsidP="00E8231D">
      <w:pPr>
        <w:spacing w:after="0"/>
      </w:pPr>
      <w:r>
        <w:t xml:space="preserve">Started in 1981, </w:t>
      </w:r>
      <w:r w:rsidRPr="00FB3EFA">
        <w:t xml:space="preserve">UW in the High School (UWHS) builds partnerships between academic units on campus and high schools across Washington State to offer UW coursework to high school students. </w:t>
      </w:r>
      <w:r>
        <w:t xml:space="preserve">Courses range from Astronomy to Comparative Literature, Latin to Computer Science. </w:t>
      </w:r>
      <w:r w:rsidRPr="00FB3EFA">
        <w:t xml:space="preserve">The UW courses are taught in the high school classroom by qualified high school teachers, who are first approved and trained by the sponsoring academic department. Teachers use UW curriculum, activities, texts, tests, and grading scales to ensure that the UW courses taught in the high school setting are equivalent as possible to those </w:t>
      </w:r>
      <w:r w:rsidR="00902DC7">
        <w:t>same courses taught on campus. T</w:t>
      </w:r>
      <w:r w:rsidRPr="00FB3EFA">
        <w:t xml:space="preserve">his self-sustaining </w:t>
      </w:r>
      <w:r w:rsidR="00902DC7">
        <w:t xml:space="preserve">“college in the high school” </w:t>
      </w:r>
      <w:r w:rsidRPr="00FB3EFA">
        <w:t>program</w:t>
      </w:r>
      <w:r w:rsidR="00902DC7">
        <w:t xml:space="preserve"> relies entirely on student course fees. T</w:t>
      </w:r>
      <w:r w:rsidRPr="00FB3EFA">
        <w:t xml:space="preserve">he high school students can </w:t>
      </w:r>
      <w:r>
        <w:t xml:space="preserve">register </w:t>
      </w:r>
      <w:r w:rsidR="00902DC7">
        <w:t xml:space="preserve">to earn UW credit </w:t>
      </w:r>
      <w:r>
        <w:t xml:space="preserve">at a </w:t>
      </w:r>
      <w:r w:rsidR="00902DC7">
        <w:t>much-</w:t>
      </w:r>
      <w:r>
        <w:t>reduced cost</w:t>
      </w:r>
      <w:r w:rsidR="00902DC7">
        <w:t xml:space="preserve">: </w:t>
      </w:r>
      <w:r>
        <w:t>$320</w:t>
      </w:r>
      <w:r w:rsidRPr="00FB3EFA">
        <w:t>/course</w:t>
      </w:r>
      <w:r>
        <w:t xml:space="preserve"> for 2014-15</w:t>
      </w:r>
      <w:r w:rsidR="00902DC7">
        <w:t xml:space="preserve">. The student’s course, credits, and grades are </w:t>
      </w:r>
      <w:r w:rsidRPr="00FB3EFA">
        <w:t>recorded on a UW transcript just as if they had taken the course on campus. While many UWHS students eventually attend UW, most students enroll at o</w:t>
      </w:r>
      <w:r w:rsidR="00902DC7">
        <w:t>ther colleges and universities. T</w:t>
      </w:r>
      <w:r w:rsidRPr="00FB3EFA">
        <w:t>he UW credits they earned throug</w:t>
      </w:r>
      <w:r>
        <w:t xml:space="preserve">h UWHS are widely transferrable across the country. </w:t>
      </w:r>
      <w:r w:rsidR="00E8231D">
        <w:br/>
      </w:r>
    </w:p>
    <w:p w:rsidR="00DA207A" w:rsidRDefault="00E8231D" w:rsidP="00E8231D">
      <w:pPr>
        <w:spacing w:after="0"/>
      </w:pPr>
      <w:r>
        <w:rPr>
          <w:noProof/>
        </w:rPr>
        <w:drawing>
          <wp:inline distT="0" distB="0" distL="0" distR="0" wp14:anchorId="253DB62E" wp14:editId="5E7D5581">
            <wp:extent cx="5825613" cy="2374490"/>
            <wp:effectExtent l="0" t="0" r="3810" b="698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02DC7" w:rsidRDefault="00902DC7" w:rsidP="00E8231D">
      <w:pPr>
        <w:spacing w:after="0"/>
      </w:pPr>
    </w:p>
    <w:p w:rsidR="00DA207A" w:rsidRDefault="00902DC7">
      <w:r>
        <w:rPr>
          <w:noProof/>
        </w:rPr>
        <w:drawing>
          <wp:inline distT="0" distB="0" distL="0" distR="0" wp14:anchorId="0DA25ADD" wp14:editId="7DF94A6F">
            <wp:extent cx="5812077" cy="2267211"/>
            <wp:effectExtent l="0" t="0" r="1778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DA207A">
        <w:br w:type="page"/>
      </w:r>
    </w:p>
    <w:p w:rsidR="008C6324" w:rsidRPr="008C6324" w:rsidRDefault="008C6324" w:rsidP="00C00933">
      <w:pPr>
        <w:rPr>
          <w:b/>
        </w:rPr>
      </w:pPr>
      <w:r w:rsidRPr="008C6324">
        <w:rPr>
          <w:b/>
        </w:rPr>
        <w:lastRenderedPageBreak/>
        <w:t>Student Surveys</w:t>
      </w:r>
    </w:p>
    <w:p w:rsidR="00C00933" w:rsidRDefault="00C00933" w:rsidP="00C00933">
      <w:r>
        <w:t xml:space="preserve">Each year, </w:t>
      </w:r>
      <w:r w:rsidRPr="00902DC7">
        <w:t>UWHS</w:t>
      </w:r>
      <w:r>
        <w:t xml:space="preserve"> conducts a survey of the students one year after completing a UW course in their high school. This survey – along with other surveys of students, principals, counselors, and teachers – helps us to maintain our program’s accreditation through the National Alliance of Concurrent Enrollment Partnerships (</w:t>
      </w:r>
      <w:hyperlink r:id="rId9" w:history="1">
        <w:r>
          <w:rPr>
            <w:rStyle w:val="Hyperlink"/>
          </w:rPr>
          <w:t>NACEP</w:t>
        </w:r>
      </w:hyperlink>
      <w:r>
        <w:t xml:space="preserve">). Here are a few highlights from the survey of 2012-13 students. </w:t>
      </w:r>
    </w:p>
    <w:p w:rsidR="00C00933" w:rsidRDefault="00C00933" w:rsidP="00C00933">
      <w:pPr>
        <w:pStyle w:val="ListParagraph"/>
        <w:numPr>
          <w:ilvl w:val="0"/>
          <w:numId w:val="3"/>
        </w:numPr>
      </w:pPr>
      <w:r w:rsidRPr="00C00933">
        <w:rPr>
          <w:b/>
          <w:bCs/>
          <w:i/>
          <w:iCs/>
        </w:rPr>
        <w:t>By taking the UWHS course, I was better prepared academically for college.  </w:t>
      </w:r>
      <w:r>
        <w:t xml:space="preserve">77% of students agreed or strongly agreed. </w:t>
      </w:r>
    </w:p>
    <w:p w:rsidR="00C00933" w:rsidRPr="00C00933" w:rsidRDefault="00C00933" w:rsidP="00C00933">
      <w:pPr>
        <w:pStyle w:val="ListParagraph"/>
        <w:numPr>
          <w:ilvl w:val="0"/>
          <w:numId w:val="1"/>
        </w:numPr>
        <w:rPr>
          <w:b/>
          <w:bCs/>
          <w:i/>
          <w:iCs/>
        </w:rPr>
      </w:pPr>
      <w:r>
        <w:rPr>
          <w:b/>
          <w:bCs/>
          <w:i/>
          <w:iCs/>
        </w:rPr>
        <w:t xml:space="preserve">The UWHS courses were at least as challenging as the courses I enrolled in at my current college or university.  </w:t>
      </w:r>
      <w:r>
        <w:t>81% agreed.</w:t>
      </w:r>
    </w:p>
    <w:p w:rsidR="00C00933" w:rsidRPr="00C00933" w:rsidRDefault="00C00933" w:rsidP="00C00933">
      <w:pPr>
        <w:pStyle w:val="ListParagraph"/>
        <w:numPr>
          <w:ilvl w:val="0"/>
          <w:numId w:val="1"/>
        </w:numPr>
        <w:rPr>
          <w:b/>
          <w:bCs/>
        </w:rPr>
      </w:pPr>
      <w:r>
        <w:rPr>
          <w:b/>
          <w:bCs/>
        </w:rPr>
        <w:t>Transferring UW credits earned through UWHS is largely successful.  </w:t>
      </w:r>
      <w:r>
        <w:t xml:space="preserve">Students reported transferring their UW credit to a wide range of colleges and universities, including: Pacific Lutheran, Central Washington, Loyola Marymount, Brigham Young, South Dakota School of Mines and Technology, Marymount, Oregon, Lewis Clark, Gonzaga, Montana State, George Washington, and California Polytechnic. </w:t>
      </w:r>
    </w:p>
    <w:p w:rsidR="00C00933" w:rsidRDefault="00C00933" w:rsidP="00C00933">
      <w:pPr>
        <w:pStyle w:val="ListParagraph"/>
        <w:numPr>
          <w:ilvl w:val="0"/>
          <w:numId w:val="1"/>
        </w:numPr>
        <w:rPr>
          <w:b/>
          <w:bCs/>
        </w:rPr>
      </w:pPr>
      <w:r>
        <w:rPr>
          <w:b/>
          <w:bCs/>
        </w:rPr>
        <w:t xml:space="preserve">Nearly 93% would recommend UWHS to current high school students. </w:t>
      </w:r>
    </w:p>
    <w:p w:rsidR="00C00933" w:rsidRDefault="00656C7D" w:rsidP="00C00933">
      <w:pPr>
        <w:pStyle w:val="ListParagraph"/>
        <w:numPr>
          <w:ilvl w:val="0"/>
          <w:numId w:val="1"/>
        </w:numPr>
        <w:rPr>
          <w:b/>
          <w:bCs/>
        </w:rPr>
      </w:pPr>
      <w:r>
        <w:rPr>
          <w:b/>
          <w:bCs/>
        </w:rPr>
        <w:t xml:space="preserve">A few </w:t>
      </w:r>
      <w:r w:rsidR="00C00933">
        <w:rPr>
          <w:b/>
          <w:bCs/>
        </w:rPr>
        <w:t xml:space="preserve">student comments: </w:t>
      </w:r>
    </w:p>
    <w:p w:rsidR="00C00933" w:rsidRDefault="00C00933" w:rsidP="00C00933">
      <w:pPr>
        <w:pStyle w:val="ListParagraph"/>
        <w:numPr>
          <w:ilvl w:val="0"/>
          <w:numId w:val="1"/>
        </w:numPr>
        <w:ind w:left="1080"/>
        <w:rPr>
          <w:i/>
          <w:iCs/>
        </w:rPr>
      </w:pPr>
      <w:r>
        <w:rPr>
          <w:i/>
          <w:iCs/>
        </w:rPr>
        <w:t>UW in the High School is an extremely unique experience that gave me a glimpse at college courses and provided me with a knowledge of the level of work that would be expected of me in college.  I also had to learn new study techniques, which I am grateful that I learned before I entered college.  One of the most beneficial classes I took was a writing course, where I learned techniques for technical writing, skills for which I began using immediately upon entering college.</w:t>
      </w:r>
    </w:p>
    <w:p w:rsidR="00C00933" w:rsidRDefault="00C00933" w:rsidP="00C00933">
      <w:pPr>
        <w:pStyle w:val="ListParagraph"/>
        <w:numPr>
          <w:ilvl w:val="0"/>
          <w:numId w:val="1"/>
        </w:numPr>
        <w:ind w:left="1080"/>
        <w:rPr>
          <w:i/>
          <w:iCs/>
        </w:rPr>
      </w:pPr>
      <w:r>
        <w:rPr>
          <w:i/>
          <w:iCs/>
        </w:rPr>
        <w:t>It gave me insight to the work load I was going to have in college. And I am now done with my first quarter and can say that the classes were very similar.</w:t>
      </w:r>
    </w:p>
    <w:p w:rsidR="00C00933" w:rsidRDefault="00C00933" w:rsidP="00C00933">
      <w:pPr>
        <w:pStyle w:val="ListParagraph"/>
        <w:numPr>
          <w:ilvl w:val="0"/>
          <w:numId w:val="1"/>
        </w:numPr>
        <w:ind w:left="1080"/>
        <w:rPr>
          <w:i/>
          <w:iCs/>
        </w:rPr>
      </w:pPr>
      <w:r>
        <w:rPr>
          <w:i/>
          <w:iCs/>
        </w:rPr>
        <w:t>It was fun, a window into college course and it solidified my decision to attend the U.</w:t>
      </w:r>
    </w:p>
    <w:p w:rsidR="008C6324" w:rsidRDefault="008C6324" w:rsidP="00E8231D">
      <w:pPr>
        <w:spacing w:after="0"/>
      </w:pPr>
    </w:p>
    <w:p w:rsidR="00656C7D" w:rsidRDefault="00656C7D" w:rsidP="00E8231D">
      <w:pPr>
        <w:spacing w:after="0"/>
      </w:pPr>
      <w:r>
        <w:t>Every three years, we also conduct a survey of students FOUR years after they have completed UW coursework through UWHS. Here are a few highlights from the most recent report.</w:t>
      </w:r>
    </w:p>
    <w:p w:rsidR="00656C7D" w:rsidRDefault="00656C7D" w:rsidP="00656C7D">
      <w:pPr>
        <w:pStyle w:val="ListParagraph"/>
        <w:numPr>
          <w:ilvl w:val="0"/>
          <w:numId w:val="4"/>
        </w:numPr>
      </w:pPr>
      <w:r w:rsidRPr="00656C7D">
        <w:rPr>
          <w:b/>
        </w:rPr>
        <w:t>Many students have plans to pursue advanced degrees</w:t>
      </w:r>
      <w:r>
        <w:t xml:space="preserve">:  nearly 60% for masters and 23% for doctoral. </w:t>
      </w:r>
    </w:p>
    <w:p w:rsidR="00656C7D" w:rsidRDefault="00656C7D" w:rsidP="00656C7D">
      <w:pPr>
        <w:pStyle w:val="ListParagraph"/>
        <w:numPr>
          <w:ilvl w:val="0"/>
          <w:numId w:val="4"/>
        </w:numPr>
      </w:pPr>
      <w:r w:rsidRPr="00656C7D">
        <w:rPr>
          <w:b/>
        </w:rPr>
        <w:t>The majority of students cited that their UW credits</w:t>
      </w:r>
      <w:r>
        <w:t xml:space="preserve"> </w:t>
      </w:r>
      <w:r w:rsidRPr="00656C7D">
        <w:rPr>
          <w:b/>
        </w:rPr>
        <w:t xml:space="preserve">counted </w:t>
      </w:r>
      <w:r>
        <w:t xml:space="preserve">toward their degree (82%), exempted them from a required course (72%), or enabled them to enroll in a more advanced course (50%).  </w:t>
      </w:r>
    </w:p>
    <w:p w:rsidR="00656C7D" w:rsidRDefault="00656C7D" w:rsidP="00656C7D">
      <w:pPr>
        <w:pStyle w:val="ListParagraph"/>
        <w:numPr>
          <w:ilvl w:val="0"/>
          <w:numId w:val="4"/>
        </w:numPr>
      </w:pPr>
      <w:r>
        <w:t xml:space="preserve">One of the strong areas developed through UWHS coursework? </w:t>
      </w:r>
      <w:r w:rsidRPr="00656C7D">
        <w:rPr>
          <w:b/>
        </w:rPr>
        <w:t>Writing skills.</w:t>
      </w:r>
      <w:r>
        <w:t xml:space="preserve"> Nearly two-thirds of students agreed or strongly agreed.</w:t>
      </w:r>
    </w:p>
    <w:p w:rsidR="00656C7D" w:rsidRPr="00656C7D" w:rsidRDefault="00656C7D" w:rsidP="00656C7D">
      <w:pPr>
        <w:pStyle w:val="ListParagraph"/>
        <w:numPr>
          <w:ilvl w:val="0"/>
          <w:numId w:val="4"/>
        </w:numPr>
        <w:rPr>
          <w:b/>
        </w:rPr>
      </w:pPr>
      <w:r w:rsidRPr="00656C7D">
        <w:rPr>
          <w:b/>
        </w:rPr>
        <w:t>One comment from a UW graduate:</w:t>
      </w:r>
    </w:p>
    <w:p w:rsidR="00656C7D" w:rsidRPr="00656C7D" w:rsidRDefault="00656C7D" w:rsidP="00656C7D">
      <w:pPr>
        <w:pStyle w:val="ListParagraph"/>
        <w:rPr>
          <w:i/>
        </w:rPr>
      </w:pPr>
      <w:r w:rsidRPr="00656C7D">
        <w:rPr>
          <w:i/>
        </w:rPr>
        <w:t xml:space="preserve">I enjoyed the feeling of taking a college class and getting the 5 credits the accompanied it. They helped me graduate a quarter early from the </w:t>
      </w:r>
      <w:r w:rsidR="008C6324">
        <w:rPr>
          <w:i/>
        </w:rPr>
        <w:t>UW</w:t>
      </w:r>
      <w:r w:rsidRPr="00656C7D">
        <w:rPr>
          <w:i/>
        </w:rPr>
        <w:t>. I also took UWHS Spanish and became a Spanish major.</w:t>
      </w:r>
    </w:p>
    <w:p w:rsidR="00902DC7" w:rsidRDefault="00902DC7" w:rsidP="00E8231D">
      <w:pPr>
        <w:spacing w:after="0"/>
      </w:pPr>
    </w:p>
    <w:p w:rsidR="008C6324" w:rsidRPr="008C6324" w:rsidRDefault="008C6324" w:rsidP="00E8231D">
      <w:pPr>
        <w:spacing w:after="0"/>
        <w:rPr>
          <w:b/>
        </w:rPr>
      </w:pPr>
      <w:r w:rsidRPr="008C6324">
        <w:rPr>
          <w:b/>
        </w:rPr>
        <w:t>Earning Credit and Grade Success</w:t>
      </w:r>
    </w:p>
    <w:p w:rsidR="008C6324" w:rsidRDefault="008C6324" w:rsidP="00E8231D">
      <w:pPr>
        <w:spacing w:after="0"/>
      </w:pPr>
    </w:p>
    <w:p w:rsidR="00902DC7" w:rsidRDefault="008C6324" w:rsidP="008C6324">
      <w:pPr>
        <w:pStyle w:val="ListParagraph"/>
        <w:numPr>
          <w:ilvl w:val="0"/>
          <w:numId w:val="6"/>
        </w:numPr>
      </w:pPr>
      <w:r>
        <w:t>M</w:t>
      </w:r>
      <w:r w:rsidR="00902DC7">
        <w:t xml:space="preserve">ore than 90% of students who register for UW credit in a UWHS course earn at least a 2.0, with UW credits that can be applied towards a degree. </w:t>
      </w:r>
    </w:p>
    <w:p w:rsidR="00902DC7" w:rsidRDefault="008C6324" w:rsidP="008C6324">
      <w:pPr>
        <w:pStyle w:val="ListParagraph"/>
        <w:numPr>
          <w:ilvl w:val="0"/>
          <w:numId w:val="6"/>
        </w:numPr>
      </w:pPr>
      <w:r>
        <w:t>T</w:t>
      </w:r>
      <w:r w:rsidR="00902DC7">
        <w:t xml:space="preserve">he average grade earned by a student taking a UW course through UWHS is approximately 3.1, which is the approximate average grade earned in these courses on campus. </w:t>
      </w:r>
    </w:p>
    <w:p w:rsidR="00902DC7" w:rsidRDefault="00902DC7" w:rsidP="00E8231D">
      <w:pPr>
        <w:spacing w:after="0"/>
      </w:pPr>
    </w:p>
    <w:p w:rsidR="00E8231D" w:rsidRDefault="00902DC7" w:rsidP="00902DC7">
      <w:pPr>
        <w:spacing w:after="0"/>
        <w:jc w:val="center"/>
      </w:pPr>
      <w:r>
        <w:t>For more information, c</w:t>
      </w:r>
      <w:r w:rsidR="00E8231D">
        <w:t>ontact:</w:t>
      </w:r>
    </w:p>
    <w:p w:rsidR="00E8231D" w:rsidRDefault="00E8231D" w:rsidP="00902DC7">
      <w:pPr>
        <w:spacing w:after="0"/>
        <w:jc w:val="center"/>
      </w:pPr>
      <w:r>
        <w:t>Tim Stetter</w:t>
      </w:r>
    </w:p>
    <w:p w:rsidR="00E8231D" w:rsidRDefault="00E8231D" w:rsidP="00902DC7">
      <w:pPr>
        <w:spacing w:after="0"/>
        <w:jc w:val="center"/>
      </w:pPr>
      <w:r>
        <w:t>Director, UW in the High School</w:t>
      </w:r>
    </w:p>
    <w:p w:rsidR="00E8231D" w:rsidRDefault="00B65E81" w:rsidP="00902DC7">
      <w:pPr>
        <w:spacing w:after="0"/>
        <w:jc w:val="center"/>
      </w:pPr>
      <w:hyperlink r:id="rId10" w:history="1">
        <w:r w:rsidR="00E8231D" w:rsidRPr="0005125B">
          <w:rPr>
            <w:rStyle w:val="Hyperlink"/>
          </w:rPr>
          <w:t>tstetter@pce.uw.edu</w:t>
        </w:r>
      </w:hyperlink>
    </w:p>
    <w:p w:rsidR="00E8231D" w:rsidRDefault="00E8231D" w:rsidP="00902DC7">
      <w:pPr>
        <w:spacing w:after="0"/>
        <w:jc w:val="center"/>
      </w:pPr>
      <w:r>
        <w:t>206.221.6223</w:t>
      </w:r>
    </w:p>
    <w:p w:rsidR="00902DC7" w:rsidRDefault="00902DC7" w:rsidP="00902DC7">
      <w:pPr>
        <w:spacing w:after="0"/>
        <w:jc w:val="center"/>
      </w:pPr>
    </w:p>
    <w:p w:rsidR="00902DC7" w:rsidRPr="00902DC7" w:rsidRDefault="00B65E81" w:rsidP="00902DC7">
      <w:pPr>
        <w:spacing w:after="0"/>
        <w:jc w:val="center"/>
        <w:rPr>
          <w:sz w:val="36"/>
        </w:rPr>
      </w:pPr>
      <w:hyperlink r:id="rId11" w:history="1">
        <w:r w:rsidR="00902DC7" w:rsidRPr="00902DC7">
          <w:rPr>
            <w:rStyle w:val="Hyperlink"/>
            <w:sz w:val="36"/>
          </w:rPr>
          <w:t>http://www.uwhs.washington.edu</w:t>
        </w:r>
      </w:hyperlink>
    </w:p>
    <w:sectPr w:rsidR="00902DC7" w:rsidRPr="00902DC7" w:rsidSect="00DA20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D41"/>
    <w:multiLevelType w:val="hybridMultilevel"/>
    <w:tmpl w:val="0882C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74545BD"/>
    <w:multiLevelType w:val="hybridMultilevel"/>
    <w:tmpl w:val="4016DDEE"/>
    <w:lvl w:ilvl="0" w:tplc="E2A69CF4">
      <w:start w:val="20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463769"/>
    <w:multiLevelType w:val="hybridMultilevel"/>
    <w:tmpl w:val="C76E482C"/>
    <w:lvl w:ilvl="0" w:tplc="E2A69CF4">
      <w:start w:val="20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AC0F0C"/>
    <w:multiLevelType w:val="hybridMultilevel"/>
    <w:tmpl w:val="C854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9A1A42"/>
    <w:multiLevelType w:val="hybridMultilevel"/>
    <w:tmpl w:val="112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31D"/>
    <w:rsid w:val="00171832"/>
    <w:rsid w:val="00656C7D"/>
    <w:rsid w:val="008C6324"/>
    <w:rsid w:val="00902DC7"/>
    <w:rsid w:val="00A2117B"/>
    <w:rsid w:val="00B65E81"/>
    <w:rsid w:val="00C00933"/>
    <w:rsid w:val="00DA207A"/>
    <w:rsid w:val="00E8231D"/>
    <w:rsid w:val="00FB3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31D"/>
    <w:rPr>
      <w:color w:val="0563C1" w:themeColor="hyperlink"/>
      <w:u w:val="single"/>
    </w:rPr>
  </w:style>
  <w:style w:type="paragraph" w:styleId="ListParagraph">
    <w:name w:val="List Paragraph"/>
    <w:basedOn w:val="Normal"/>
    <w:uiPriority w:val="34"/>
    <w:qFormat/>
    <w:rsid w:val="00C00933"/>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B65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E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31D"/>
    <w:rPr>
      <w:color w:val="0563C1" w:themeColor="hyperlink"/>
      <w:u w:val="single"/>
    </w:rPr>
  </w:style>
  <w:style w:type="paragraph" w:styleId="ListParagraph">
    <w:name w:val="List Paragraph"/>
    <w:basedOn w:val="Normal"/>
    <w:uiPriority w:val="34"/>
    <w:qFormat/>
    <w:rsid w:val="00C00933"/>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B65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E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102291">
      <w:bodyDiv w:val="1"/>
      <w:marLeft w:val="0"/>
      <w:marRight w:val="0"/>
      <w:marTop w:val="0"/>
      <w:marBottom w:val="0"/>
      <w:divBdr>
        <w:top w:val="none" w:sz="0" w:space="0" w:color="auto"/>
        <w:left w:val="none" w:sz="0" w:space="0" w:color="auto"/>
        <w:bottom w:val="none" w:sz="0" w:space="0" w:color="auto"/>
        <w:right w:val="none" w:sz="0" w:space="0" w:color="auto"/>
      </w:divBdr>
    </w:div>
    <w:div w:id="175481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www.uwhs.washington.edu" TargetMode="External"/><Relationship Id="rId5" Type="http://schemas.openxmlformats.org/officeDocument/2006/relationships/webSettings" Target="webSettings.xml"/><Relationship Id="rId10" Type="http://schemas.openxmlformats.org/officeDocument/2006/relationships/hyperlink" Target="mailto:tstetter@pce.uw.edu" TargetMode="External"/><Relationship Id="rId4" Type="http://schemas.openxmlformats.org/officeDocument/2006/relationships/settings" Target="settings.xml"/><Relationship Id="rId9" Type="http://schemas.openxmlformats.org/officeDocument/2006/relationships/hyperlink" Target="http://www.nacep.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XTN\Netdrives\s-drives\AP\Programs\UW_High_School\Administrative\Budget\Multiyear\UWHS%20Growth%202009-2015.xlsx" TargetMode="External"/></Relationships>
</file>

<file path=word/charts/_rels/chart2.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EXTN\Netdrives\s-drives\AP\Programs\UW_High_School\Administrative\Budget\Multiyear\UWHS%20Growth%202009-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aseline="0"/>
              <a:t>Student Headcount and Total Registrations</a:t>
            </a:r>
            <a:endParaRPr lang="en-US"/>
          </a:p>
        </c:rich>
      </c:tx>
      <c:layout/>
      <c:overlay val="0"/>
    </c:title>
    <c:autoTitleDeleted val="0"/>
    <c:plotArea>
      <c:layout/>
      <c:lineChart>
        <c:grouping val="standard"/>
        <c:varyColors val="0"/>
        <c:ser>
          <c:idx val="0"/>
          <c:order val="0"/>
          <c:tx>
            <c:strRef>
              <c:f>'Charts 2'!$B$1</c:f>
              <c:strCache>
                <c:ptCount val="1"/>
                <c:pt idx="0">
                  <c:v>Headcount </c:v>
                </c:pt>
              </c:strCache>
            </c:strRef>
          </c:tx>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'Charts 2'!$A$2:$A$6</c:f>
              <c:strCache>
                <c:ptCount val="5"/>
                <c:pt idx="0">
                  <c:v>2009-10</c:v>
                </c:pt>
                <c:pt idx="1">
                  <c:v>2010-11</c:v>
                </c:pt>
                <c:pt idx="2">
                  <c:v>2011-12</c:v>
                </c:pt>
                <c:pt idx="3">
                  <c:v>2012-13</c:v>
                </c:pt>
                <c:pt idx="4">
                  <c:v>2013-14</c:v>
                </c:pt>
              </c:strCache>
            </c:strRef>
          </c:cat>
          <c:val>
            <c:numRef>
              <c:f>'Charts 2'!$B$2:$B$6</c:f>
              <c:numCache>
                <c:formatCode>#,##0</c:formatCode>
                <c:ptCount val="5"/>
                <c:pt idx="0">
                  <c:v>2769</c:v>
                </c:pt>
                <c:pt idx="1">
                  <c:v>3033</c:v>
                </c:pt>
                <c:pt idx="2">
                  <c:v>3720</c:v>
                </c:pt>
                <c:pt idx="3">
                  <c:v>4243</c:v>
                </c:pt>
                <c:pt idx="4">
                  <c:v>4427</c:v>
                </c:pt>
              </c:numCache>
            </c:numRef>
          </c:val>
          <c:smooth val="0"/>
        </c:ser>
        <c:ser>
          <c:idx val="1"/>
          <c:order val="1"/>
          <c:tx>
            <c:strRef>
              <c:f>'Charts 2'!$C$1</c:f>
              <c:strCache>
                <c:ptCount val="1"/>
                <c:pt idx="0">
                  <c:v>Registrations</c:v>
                </c:pt>
              </c:strCache>
            </c:strRef>
          </c:tx>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'Charts 2'!$A$2:$A$6</c:f>
              <c:strCache>
                <c:ptCount val="5"/>
                <c:pt idx="0">
                  <c:v>2009-10</c:v>
                </c:pt>
                <c:pt idx="1">
                  <c:v>2010-11</c:v>
                </c:pt>
                <c:pt idx="2">
                  <c:v>2011-12</c:v>
                </c:pt>
                <c:pt idx="3">
                  <c:v>2012-13</c:v>
                </c:pt>
                <c:pt idx="4">
                  <c:v>2013-14</c:v>
                </c:pt>
              </c:strCache>
            </c:strRef>
          </c:cat>
          <c:val>
            <c:numRef>
              <c:f>'Charts 2'!$C$2:$C$6</c:f>
              <c:numCache>
                <c:formatCode>#,##0</c:formatCode>
                <c:ptCount val="5"/>
                <c:pt idx="0">
                  <c:v>3316</c:v>
                </c:pt>
                <c:pt idx="1">
                  <c:v>3642</c:v>
                </c:pt>
                <c:pt idx="2">
                  <c:v>4794</c:v>
                </c:pt>
                <c:pt idx="3">
                  <c:v>5073</c:v>
                </c:pt>
                <c:pt idx="4">
                  <c:v>5244</c:v>
                </c:pt>
              </c:numCache>
            </c:numRef>
          </c:val>
          <c:smooth val="0"/>
        </c:ser>
        <c:dLbls>
          <c:showLegendKey val="0"/>
          <c:showVal val="1"/>
          <c:showCatName val="0"/>
          <c:showSerName val="0"/>
          <c:showPercent val="0"/>
          <c:showBubbleSize val="0"/>
        </c:dLbls>
        <c:marker val="1"/>
        <c:smooth val="0"/>
        <c:axId val="36027008"/>
        <c:axId val="36028800"/>
      </c:lineChart>
      <c:catAx>
        <c:axId val="36027008"/>
        <c:scaling>
          <c:orientation val="minMax"/>
        </c:scaling>
        <c:delete val="0"/>
        <c:axPos val="b"/>
        <c:numFmt formatCode="General" sourceLinked="0"/>
        <c:majorTickMark val="none"/>
        <c:minorTickMark val="none"/>
        <c:tickLblPos val="nextTo"/>
        <c:crossAx val="36028800"/>
        <c:crosses val="autoZero"/>
        <c:auto val="1"/>
        <c:lblAlgn val="ctr"/>
        <c:lblOffset val="100"/>
        <c:noMultiLvlLbl val="0"/>
      </c:catAx>
      <c:valAx>
        <c:axId val="36028800"/>
        <c:scaling>
          <c:orientation val="minMax"/>
        </c:scaling>
        <c:delete val="0"/>
        <c:axPos val="l"/>
        <c:majorGridlines/>
        <c:numFmt formatCode="#,##0" sourceLinked="1"/>
        <c:majorTickMark val="none"/>
        <c:minorTickMark val="none"/>
        <c:tickLblPos val="nextTo"/>
        <c:crossAx val="36027008"/>
        <c:crosses val="autoZero"/>
        <c:crossBetween val="between"/>
      </c:valAx>
    </c:plotArea>
    <c:legend>
      <c:legendPos val="r"/>
      <c:layout/>
      <c:overlay val="0"/>
    </c:legend>
    <c:plotVisOnly val="1"/>
    <c:dispBlanksAs val="gap"/>
    <c:showDLblsOverMax val="0"/>
  </c:chart>
  <c:spPr>
    <a:ln w="9525">
      <a:solidFill>
        <a:schemeClr val="tx1"/>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0" i="0" u="none" strike="noStrike" kern="1200" spc="0" baseline="0">
                <a:solidFill>
                  <a:schemeClr val="tx1">
                    <a:lumMod val="65000"/>
                    <a:lumOff val="35000"/>
                  </a:schemeClr>
                </a:solidFill>
                <a:latin typeface="+mn-lt"/>
                <a:ea typeface="+mn-ea"/>
                <a:cs typeface="+mn-cs"/>
              </a:defRPr>
            </a:pPr>
            <a:r>
              <a:rPr lang="en-US" sz="1800" b="1" baseline="0">
                <a:solidFill>
                  <a:schemeClr val="tx1"/>
                </a:solidFill>
              </a:rPr>
              <a:t>Partner Schools</a:t>
            </a:r>
          </a:p>
        </c:rich>
      </c:tx>
      <c:layout/>
      <c:overlay val="0"/>
      <c:spPr>
        <a:noFill/>
        <a:ln>
          <a:noFill/>
        </a:ln>
        <a:effectLst/>
      </c:spPr>
    </c:title>
    <c:autoTitleDeleted val="0"/>
    <c:plotArea>
      <c:layout/>
      <c:lineChart>
        <c:grouping val="standard"/>
        <c:varyColors val="0"/>
        <c:ser>
          <c:idx val="3"/>
          <c:order val="0"/>
          <c:tx>
            <c:strRef>
              <c:f>'Charts 2'!$E$1</c:f>
              <c:strCache>
                <c:ptCount val="1"/>
                <c:pt idx="0">
                  <c:v>Schools</c:v>
                </c:pt>
              </c:strCache>
            </c:strRef>
          </c:tx>
          <c:spPr>
            <a:ln w="28575" cap="rnd">
              <a:solidFill>
                <a:schemeClr val="accent4"/>
              </a:solidFill>
              <a:round/>
            </a:ln>
            <a:effectLst/>
          </c:spPr>
          <c:marker>
            <c:symbol val="none"/>
          </c:marker>
          <c:dLbls>
            <c:dLbl>
              <c:idx val="0"/>
              <c:layout>
                <c:manualLayout>
                  <c:x val="-2.7944444444444445E-2"/>
                  <c:y val="-3.70370370370370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097331583552053E-2"/>
                  <c:y val="-3.70370370370370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5999890638670271E-2"/>
                  <c:y val="-5.0925743657042867E-2"/>
                </c:manualLayout>
              </c:layout>
              <c:spPr>
                <a:noFill/>
                <a:ln>
                  <a:noFill/>
                </a:ln>
                <a:effectLst/>
              </c:spPr>
              <c:txPr>
                <a:bodyPr rot="0" spcFirstLastPara="1" vertOverflow="ellipsis" vert="horz" wrap="square" lIns="38100" tIns="19050" rIns="38100" bIns="19050" anchor="ctr" anchorCtr="1">
                  <a:noAutofit/>
                </a:bodyPr>
                <a:lstStyle/>
                <a:p>
                  <a:pPr>
                    <a:defRPr sz="1100" b="0" i="0" u="none" strike="noStrike" kern="1200" baseline="0">
                      <a:solidFill>
                        <a:schemeClr val="tx1">
                          <a:lumMod val="75000"/>
                          <a:lumOff val="25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15:layout>
                    <c:manualLayout>
                      <c:w val="6.1444444444444433E-2"/>
                      <c:h val="0.11104184893554971"/>
                    </c:manualLayout>
                  </c15:layout>
                </c:ext>
              </c:extLst>
            </c:dLbl>
            <c:dLbl>
              <c:idx val="3"/>
              <c:layout>
                <c:manualLayout>
                  <c:x val="-4.1875109361329835E-2"/>
                  <c:y val="-5.55555555555555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840332458442692E-2"/>
                  <c:y val="-4.629629629629631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'Charts 2'!$A$2:$A$6</c:f>
              <c:strCache>
                <c:ptCount val="5"/>
                <c:pt idx="0">
                  <c:v>2009-10</c:v>
                </c:pt>
                <c:pt idx="1">
                  <c:v>2010-11</c:v>
                </c:pt>
                <c:pt idx="2">
                  <c:v>2011-12</c:v>
                </c:pt>
                <c:pt idx="3">
                  <c:v>2012-13</c:v>
                </c:pt>
                <c:pt idx="4">
                  <c:v>2013-14</c:v>
                </c:pt>
              </c:strCache>
            </c:strRef>
          </c:cat>
          <c:val>
            <c:numRef>
              <c:f>'Charts 2'!$E$2:$E$6</c:f>
              <c:numCache>
                <c:formatCode>General</c:formatCode>
                <c:ptCount val="5"/>
                <c:pt idx="0">
                  <c:v>58</c:v>
                </c:pt>
                <c:pt idx="1">
                  <c:v>72</c:v>
                </c:pt>
                <c:pt idx="2">
                  <c:v>87</c:v>
                </c:pt>
                <c:pt idx="3">
                  <c:v>92</c:v>
                </c:pt>
                <c:pt idx="4">
                  <c:v>105</c:v>
                </c:pt>
              </c:numCache>
            </c:numRef>
          </c:val>
          <c:smooth val="0"/>
        </c:ser>
        <c:dLbls>
          <c:dLblPos val="ctr"/>
          <c:showLegendKey val="0"/>
          <c:showVal val="1"/>
          <c:showCatName val="0"/>
          <c:showSerName val="0"/>
          <c:showPercent val="0"/>
          <c:showBubbleSize val="0"/>
        </c:dLbls>
        <c:marker val="1"/>
        <c:smooth val="0"/>
        <c:axId val="38032512"/>
        <c:axId val="38034048"/>
        <c:extLst>
          <c:ext xmlns:c15="http://schemas.microsoft.com/office/drawing/2012/chart" uri="{02D57815-91ED-43cb-92C2-25804820EDAC}">
            <c15:filteredLineSeries>
              <c15:ser>
                <c:idx val="0"/>
                <c:order val="0"/>
                <c:tx>
                  <c:strRef>
                    <c:extLst>
                      <c:ext uri="{02D57815-91ED-43cb-92C2-25804820EDAC}">
                        <c15:formulaRef>
                          <c15:sqref>'Charts 2'!$B$1</c15:sqref>
                        </c15:formulaRef>
                      </c:ext>
                    </c:extLst>
                    <c:strCache>
                      <c:ptCount val="1"/>
                      <c:pt idx="0">
                        <c:v>Headcount </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'Charts 2'!$A$2:$A$6</c15:sqref>
                        </c15:formulaRef>
                      </c:ext>
                    </c:extLst>
                    <c:strCache>
                      <c:ptCount val="5"/>
                      <c:pt idx="0">
                        <c:v>2009-10</c:v>
                      </c:pt>
                      <c:pt idx="1">
                        <c:v>2010-11</c:v>
                      </c:pt>
                      <c:pt idx="2">
                        <c:v>2011-12</c:v>
                      </c:pt>
                      <c:pt idx="3">
                        <c:v>2012-13</c:v>
                      </c:pt>
                      <c:pt idx="4">
                        <c:v>2013-14</c:v>
                      </c:pt>
                    </c:strCache>
                  </c:strRef>
                </c:cat>
                <c:val>
                  <c:numRef>
                    <c:extLst>
                      <c:ext uri="{02D57815-91ED-43cb-92C2-25804820EDAC}">
                        <c15:formulaRef>
                          <c15:sqref>'Charts 2'!$B$2:$B$6</c15:sqref>
                        </c15:formulaRef>
                      </c:ext>
                    </c:extLst>
                    <c:numCache>
                      <c:formatCode>#,##0</c:formatCode>
                      <c:ptCount val="5"/>
                      <c:pt idx="0">
                        <c:v>2769</c:v>
                      </c:pt>
                      <c:pt idx="1">
                        <c:v>3033</c:v>
                      </c:pt>
                      <c:pt idx="2">
                        <c:v>3720</c:v>
                      </c:pt>
                      <c:pt idx="3">
                        <c:v>4243</c:v>
                      </c:pt>
                      <c:pt idx="4">
                        <c:v>4427</c:v>
                      </c:pt>
                    </c:numCache>
                  </c:numRef>
                </c:val>
                <c:smooth val="0"/>
              </c15:ser>
            </c15:filteredLineSeries>
            <c15:filteredLineSeries>
              <c15:ser>
                <c:idx val="1"/>
                <c:order val="1"/>
                <c:tx>
                  <c:strRef>
                    <c:extLst xmlns:c15="http://schemas.microsoft.com/office/drawing/2012/chart">
                      <c:ext xmlns:c15="http://schemas.microsoft.com/office/drawing/2012/chart" uri="{02D57815-91ED-43cb-92C2-25804820EDAC}">
                        <c15:formulaRef>
                          <c15:sqref>'Charts 2'!$C$1</c15:sqref>
                        </c15:formulaRef>
                      </c:ext>
                    </c:extLst>
                    <c:strCache>
                      <c:ptCount val="1"/>
                      <c:pt idx="0">
                        <c:v>Registrations</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'Charts 2'!$A$2:$A$6</c15:sqref>
                        </c15:formulaRef>
                      </c:ext>
                    </c:extLst>
                    <c:strCache>
                      <c:ptCount val="5"/>
                      <c:pt idx="0">
                        <c:v>2009-10</c:v>
                      </c:pt>
                      <c:pt idx="1">
                        <c:v>2010-11</c:v>
                      </c:pt>
                      <c:pt idx="2">
                        <c:v>2011-12</c:v>
                      </c:pt>
                      <c:pt idx="3">
                        <c:v>2012-13</c:v>
                      </c:pt>
                      <c:pt idx="4">
                        <c:v>2013-14</c:v>
                      </c:pt>
                    </c:strCache>
                  </c:strRef>
                </c:cat>
                <c:val>
                  <c:numRef>
                    <c:extLst xmlns:c15="http://schemas.microsoft.com/office/drawing/2012/chart">
                      <c:ext xmlns:c15="http://schemas.microsoft.com/office/drawing/2012/chart" uri="{02D57815-91ED-43cb-92C2-25804820EDAC}">
                        <c15:formulaRef>
                          <c15:sqref>'Charts 2'!$C$2:$C$6</c15:sqref>
                        </c15:formulaRef>
                      </c:ext>
                    </c:extLst>
                    <c:numCache>
                      <c:formatCode>#,##0</c:formatCode>
                      <c:ptCount val="5"/>
                      <c:pt idx="0">
                        <c:v>3316</c:v>
                      </c:pt>
                      <c:pt idx="1">
                        <c:v>3642</c:v>
                      </c:pt>
                      <c:pt idx="2">
                        <c:v>4794</c:v>
                      </c:pt>
                      <c:pt idx="3">
                        <c:v>5073</c:v>
                      </c:pt>
                      <c:pt idx="4">
                        <c:v>5244</c:v>
                      </c:pt>
                    </c:numCache>
                  </c:numRef>
                </c:val>
                <c:smooth val="0"/>
              </c15:ser>
            </c15:filteredLineSeries>
            <c15:filteredLineSeries>
              <c15:ser>
                <c:idx val="2"/>
                <c:order val="2"/>
                <c:tx>
                  <c:strRef>
                    <c:extLst xmlns:c15="http://schemas.microsoft.com/office/drawing/2012/chart">
                      <c:ext xmlns:c15="http://schemas.microsoft.com/office/drawing/2012/chart" uri="{02D57815-91ED-43cb-92C2-25804820EDAC}">
                        <c15:formulaRef>
                          <c15:sqref>'Charts 2'!$D$1</c15:sqref>
                        </c15:formulaRef>
                      </c:ext>
                    </c:extLst>
                    <c:strCache>
                      <c:ptCount val="1"/>
                      <c:pt idx="0">
                        <c:v>Courses</c:v>
                      </c:pt>
                    </c:strCache>
                  </c:strRef>
                </c:tx>
                <c:spPr>
                  <a:ln w="28575"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'Charts 2'!$A$2:$A$6</c15:sqref>
                        </c15:formulaRef>
                      </c:ext>
                    </c:extLst>
                    <c:strCache>
                      <c:ptCount val="5"/>
                      <c:pt idx="0">
                        <c:v>2009-10</c:v>
                      </c:pt>
                      <c:pt idx="1">
                        <c:v>2010-11</c:v>
                      </c:pt>
                      <c:pt idx="2">
                        <c:v>2011-12</c:v>
                      </c:pt>
                      <c:pt idx="3">
                        <c:v>2012-13</c:v>
                      </c:pt>
                      <c:pt idx="4">
                        <c:v>2013-14</c:v>
                      </c:pt>
                    </c:strCache>
                  </c:strRef>
                </c:cat>
                <c:val>
                  <c:numRef>
                    <c:extLst xmlns:c15="http://schemas.microsoft.com/office/drawing/2012/chart">
                      <c:ext xmlns:c15="http://schemas.microsoft.com/office/drawing/2012/chart" uri="{02D57815-91ED-43cb-92C2-25804820EDAC}">
                        <c15:formulaRef>
                          <c15:sqref>'Charts 2'!$D$2:$D$6</c15:sqref>
                        </c15:formulaRef>
                      </c:ext>
                    </c:extLst>
                    <c:numCache>
                      <c:formatCode>General</c:formatCode>
                      <c:ptCount val="5"/>
                      <c:pt idx="0">
                        <c:v>145</c:v>
                      </c:pt>
                      <c:pt idx="1">
                        <c:v>177</c:v>
                      </c:pt>
                      <c:pt idx="2">
                        <c:v>225</c:v>
                      </c:pt>
                      <c:pt idx="3">
                        <c:v>250</c:v>
                      </c:pt>
                      <c:pt idx="4">
                        <c:v>278</c:v>
                      </c:pt>
                    </c:numCache>
                  </c:numRef>
                </c:val>
                <c:smooth val="0"/>
              </c15:ser>
            </c15:filteredLineSeries>
          </c:ext>
        </c:extLst>
      </c:lineChart>
      <c:catAx>
        <c:axId val="38032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crossAx val="38034048"/>
        <c:crosses val="autoZero"/>
        <c:auto val="1"/>
        <c:lblAlgn val="ctr"/>
        <c:lblOffset val="100"/>
        <c:noMultiLvlLbl val="0"/>
      </c:catAx>
      <c:valAx>
        <c:axId val="38034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8032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3821</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UWEO</Company>
  <LinksUpToDate>false</LinksUpToDate>
  <CharactersWithSpaces>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Stetter</dc:creator>
  <cp:lastModifiedBy>Noreen Light</cp:lastModifiedBy>
  <cp:revision>2</cp:revision>
  <dcterms:created xsi:type="dcterms:W3CDTF">2014-09-16T16:19:00Z</dcterms:created>
  <dcterms:modified xsi:type="dcterms:W3CDTF">2014-09-16T16:19:00Z</dcterms:modified>
</cp:coreProperties>
</file>