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PlainTable2"/>
        <w:tblW w:w="23328" w:type="dxa"/>
        <w:tblLayout w:type="fixed"/>
        <w:tblLook w:val="04A0" w:firstRow="1" w:lastRow="0" w:firstColumn="1" w:lastColumn="0" w:noHBand="0" w:noVBand="1"/>
      </w:tblPr>
      <w:tblGrid>
        <w:gridCol w:w="1707"/>
        <w:gridCol w:w="1097"/>
        <w:gridCol w:w="544"/>
        <w:gridCol w:w="900"/>
        <w:gridCol w:w="2160"/>
        <w:gridCol w:w="1350"/>
        <w:gridCol w:w="4410"/>
        <w:gridCol w:w="2790"/>
        <w:gridCol w:w="2340"/>
        <w:gridCol w:w="1530"/>
        <w:gridCol w:w="4500"/>
      </w:tblGrid>
      <w:tr w:rsidR="001E4541" w:rsidRPr="008F66C4" w:rsidTr="001E45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7" w:type="dxa"/>
          </w:tcPr>
          <w:p w:rsidR="00A35B66" w:rsidRPr="008F66C4" w:rsidRDefault="00A35B66">
            <w:pPr>
              <w:rPr>
                <w:b w:val="0"/>
                <w:sz w:val="20"/>
                <w:szCs w:val="20"/>
              </w:rPr>
            </w:pPr>
            <w:r w:rsidRPr="008F66C4">
              <w:rPr>
                <w:sz w:val="20"/>
                <w:szCs w:val="20"/>
              </w:rPr>
              <w:t>Program</w:t>
            </w:r>
            <w:r w:rsidR="008F66C4">
              <w:rPr>
                <w:sz w:val="20"/>
                <w:szCs w:val="20"/>
              </w:rPr>
              <w:t xml:space="preserve"> - OSPI</w:t>
            </w:r>
          </w:p>
          <w:p w:rsidR="004F4515" w:rsidRPr="008F66C4" w:rsidRDefault="004F4515" w:rsidP="008F66C4">
            <w:pPr>
              <w:rPr>
                <w:b w:val="0"/>
                <w:sz w:val="20"/>
                <w:szCs w:val="20"/>
              </w:rPr>
            </w:pPr>
            <w:r w:rsidRPr="008F66C4">
              <w:rPr>
                <w:sz w:val="20"/>
                <w:szCs w:val="20"/>
              </w:rPr>
              <w:t xml:space="preserve">2013-14 data </w:t>
            </w:r>
          </w:p>
        </w:tc>
        <w:tc>
          <w:tcPr>
            <w:tcW w:w="1097" w:type="dxa"/>
          </w:tcPr>
          <w:p w:rsidR="00A35B66" w:rsidRPr="008F66C4" w:rsidRDefault="00A35B66">
            <w:pPr>
              <w:cnfStyle w:val="100000000000" w:firstRow="1" w:lastRow="0" w:firstColumn="0" w:lastColumn="0" w:oddVBand="0" w:evenVBand="0" w:oddHBand="0" w:evenHBand="0" w:firstRowFirstColumn="0" w:firstRowLastColumn="0" w:lastRowFirstColumn="0" w:lastRowLastColumn="0"/>
              <w:rPr>
                <w:b w:val="0"/>
                <w:sz w:val="20"/>
                <w:szCs w:val="20"/>
              </w:rPr>
            </w:pPr>
            <w:r w:rsidRPr="008F66C4">
              <w:rPr>
                <w:sz w:val="20"/>
                <w:szCs w:val="20"/>
              </w:rPr>
              <w:t>Students</w:t>
            </w:r>
            <w:r w:rsidRPr="008F66C4">
              <w:rPr>
                <w:rStyle w:val="FootnoteReference"/>
                <w:sz w:val="20"/>
                <w:szCs w:val="20"/>
              </w:rPr>
              <w:footnoteReference w:id="1"/>
            </w:r>
          </w:p>
          <w:p w:rsidR="00A35B66" w:rsidRPr="0058583B" w:rsidRDefault="0058583B" w:rsidP="005F1705">
            <w:pPr>
              <w:cnfStyle w:val="100000000000" w:firstRow="1" w:lastRow="0" w:firstColumn="0" w:lastColumn="0" w:oddVBand="0" w:evenVBand="0" w:oddHBand="0" w:evenHBand="0" w:firstRowFirstColumn="0" w:firstRowLastColumn="0" w:lastRowFirstColumn="0" w:lastRowLastColumn="0"/>
              <w:rPr>
                <w:sz w:val="20"/>
                <w:szCs w:val="20"/>
              </w:rPr>
            </w:pPr>
            <w:r w:rsidRPr="0058583B">
              <w:rPr>
                <w:sz w:val="20"/>
                <w:szCs w:val="20"/>
              </w:rPr>
              <w:t>Credits</w:t>
            </w:r>
          </w:p>
        </w:tc>
        <w:tc>
          <w:tcPr>
            <w:tcW w:w="544" w:type="dxa"/>
          </w:tcPr>
          <w:p w:rsidR="00A35B66" w:rsidRPr="008F66C4" w:rsidRDefault="00692256">
            <w:pPr>
              <w:cnfStyle w:val="100000000000" w:firstRow="1" w:lastRow="0" w:firstColumn="0" w:lastColumn="0" w:oddVBand="0" w:evenVBand="0" w:oddHBand="0" w:evenHBand="0" w:firstRowFirstColumn="0" w:firstRowLastColumn="0" w:lastRowFirstColumn="0" w:lastRowLastColumn="0"/>
              <w:rPr>
                <w:b w:val="0"/>
                <w:sz w:val="20"/>
                <w:szCs w:val="20"/>
              </w:rPr>
            </w:pPr>
            <w:r w:rsidRPr="008F66C4">
              <w:rPr>
                <w:sz w:val="20"/>
                <w:szCs w:val="20"/>
              </w:rPr>
              <w:t>Site</w:t>
            </w:r>
          </w:p>
        </w:tc>
        <w:tc>
          <w:tcPr>
            <w:tcW w:w="900" w:type="dxa"/>
          </w:tcPr>
          <w:p w:rsidR="00A35B66" w:rsidRPr="008F66C4" w:rsidRDefault="00C502FD">
            <w:pPr>
              <w:cnfStyle w:val="100000000000" w:firstRow="1" w:lastRow="0" w:firstColumn="0" w:lastColumn="0" w:oddVBand="0" w:evenVBand="0" w:oddHBand="0" w:evenHBand="0" w:firstRowFirstColumn="0" w:firstRowLastColumn="0" w:lastRowFirstColumn="0" w:lastRowLastColumn="0"/>
              <w:rPr>
                <w:b w:val="0"/>
                <w:sz w:val="20"/>
                <w:szCs w:val="20"/>
              </w:rPr>
            </w:pPr>
            <w:r w:rsidRPr="008F66C4">
              <w:rPr>
                <w:sz w:val="20"/>
                <w:szCs w:val="20"/>
              </w:rPr>
              <w:t>Teacher</w:t>
            </w:r>
          </w:p>
        </w:tc>
        <w:tc>
          <w:tcPr>
            <w:tcW w:w="2160" w:type="dxa"/>
          </w:tcPr>
          <w:p w:rsidR="00A35B66" w:rsidRPr="008F66C4" w:rsidRDefault="00A35B66">
            <w:pPr>
              <w:cnfStyle w:val="100000000000" w:firstRow="1" w:lastRow="0" w:firstColumn="0" w:lastColumn="0" w:oddVBand="0" w:evenVBand="0" w:oddHBand="0" w:evenHBand="0" w:firstRowFirstColumn="0" w:firstRowLastColumn="0" w:lastRowFirstColumn="0" w:lastRowLastColumn="0"/>
              <w:rPr>
                <w:b w:val="0"/>
                <w:sz w:val="20"/>
                <w:szCs w:val="20"/>
              </w:rPr>
            </w:pPr>
            <w:r w:rsidRPr="008F66C4">
              <w:rPr>
                <w:sz w:val="20"/>
                <w:szCs w:val="20"/>
              </w:rPr>
              <w:t>Curriculum</w:t>
            </w:r>
          </w:p>
        </w:tc>
        <w:tc>
          <w:tcPr>
            <w:tcW w:w="1350" w:type="dxa"/>
          </w:tcPr>
          <w:p w:rsidR="00A35B66" w:rsidRPr="008F66C4" w:rsidRDefault="00E82168" w:rsidP="008F66C4">
            <w:pPr>
              <w:cnfStyle w:val="100000000000" w:firstRow="1" w:lastRow="0" w:firstColumn="0" w:lastColumn="0" w:oddVBand="0" w:evenVBand="0" w:oddHBand="0" w:evenHBand="0" w:firstRowFirstColumn="0" w:firstRowLastColumn="0" w:lastRowFirstColumn="0" w:lastRowLastColumn="0"/>
              <w:rPr>
                <w:b w:val="0"/>
                <w:sz w:val="20"/>
                <w:szCs w:val="20"/>
              </w:rPr>
            </w:pPr>
            <w:r w:rsidRPr="008F66C4">
              <w:rPr>
                <w:sz w:val="20"/>
                <w:szCs w:val="20"/>
              </w:rPr>
              <w:t>Evidence of Attainment</w:t>
            </w:r>
            <w:r w:rsidR="00734F30" w:rsidRPr="008F66C4">
              <w:rPr>
                <w:sz w:val="20"/>
                <w:szCs w:val="20"/>
              </w:rPr>
              <w:t xml:space="preserve"> </w:t>
            </w:r>
          </w:p>
        </w:tc>
        <w:tc>
          <w:tcPr>
            <w:tcW w:w="4410" w:type="dxa"/>
          </w:tcPr>
          <w:p w:rsidR="00DF0349" w:rsidRPr="00DF0349" w:rsidRDefault="00AD5822" w:rsidP="0058583B">
            <w:pPr>
              <w:cnfStyle w:val="100000000000" w:firstRow="1" w:lastRow="0" w:firstColumn="0" w:lastColumn="0" w:oddVBand="0" w:evenVBand="0" w:oddHBand="0" w:evenHBand="0" w:firstRowFirstColumn="0" w:firstRowLastColumn="0" w:lastRowFirstColumn="0" w:lastRowLastColumn="0"/>
              <w:rPr>
                <w:sz w:val="20"/>
                <w:szCs w:val="20"/>
              </w:rPr>
            </w:pPr>
            <w:r w:rsidRPr="008F66C4">
              <w:rPr>
                <w:sz w:val="20"/>
                <w:szCs w:val="20"/>
              </w:rPr>
              <w:t>College Credit</w:t>
            </w:r>
            <w:r w:rsidR="0058583B">
              <w:rPr>
                <w:sz w:val="20"/>
                <w:szCs w:val="20"/>
              </w:rPr>
              <w:t>: When awarded, how applied.</w:t>
            </w:r>
          </w:p>
        </w:tc>
        <w:tc>
          <w:tcPr>
            <w:tcW w:w="2790" w:type="dxa"/>
          </w:tcPr>
          <w:p w:rsidR="00A35B66" w:rsidRPr="008F66C4" w:rsidRDefault="00A35B66" w:rsidP="00FC61F1">
            <w:pPr>
              <w:cnfStyle w:val="100000000000" w:firstRow="1" w:lastRow="0" w:firstColumn="0" w:lastColumn="0" w:oddVBand="0" w:evenVBand="0" w:oddHBand="0" w:evenHBand="0" w:firstRowFirstColumn="0" w:firstRowLastColumn="0" w:lastRowFirstColumn="0" w:lastRowLastColumn="0"/>
              <w:rPr>
                <w:b w:val="0"/>
                <w:sz w:val="20"/>
                <w:szCs w:val="20"/>
              </w:rPr>
            </w:pPr>
            <w:r w:rsidRPr="008F66C4">
              <w:rPr>
                <w:sz w:val="20"/>
                <w:szCs w:val="20"/>
              </w:rPr>
              <w:t>Eligibility</w:t>
            </w:r>
          </w:p>
        </w:tc>
        <w:tc>
          <w:tcPr>
            <w:tcW w:w="2340" w:type="dxa"/>
          </w:tcPr>
          <w:p w:rsidR="00734F30" w:rsidRPr="008F66C4" w:rsidRDefault="00A35B66" w:rsidP="00DF67D1">
            <w:pPr>
              <w:cnfStyle w:val="100000000000" w:firstRow="1" w:lastRow="0" w:firstColumn="0" w:lastColumn="0" w:oddVBand="0" w:evenVBand="0" w:oddHBand="0" w:evenHBand="0" w:firstRowFirstColumn="0" w:firstRowLastColumn="0" w:lastRowFirstColumn="0" w:lastRowLastColumn="0"/>
              <w:rPr>
                <w:b w:val="0"/>
                <w:sz w:val="20"/>
                <w:szCs w:val="20"/>
              </w:rPr>
            </w:pPr>
            <w:r w:rsidRPr="008F66C4">
              <w:rPr>
                <w:sz w:val="20"/>
                <w:szCs w:val="20"/>
              </w:rPr>
              <w:t xml:space="preserve">Cost to Students; </w:t>
            </w:r>
          </w:p>
          <w:p w:rsidR="00A35B66" w:rsidRPr="008F66C4" w:rsidRDefault="00A35B66" w:rsidP="00DF67D1">
            <w:pPr>
              <w:cnfStyle w:val="100000000000" w:firstRow="1" w:lastRow="0" w:firstColumn="0" w:lastColumn="0" w:oddVBand="0" w:evenVBand="0" w:oddHBand="0" w:evenHBand="0" w:firstRowFirstColumn="0" w:firstRowLastColumn="0" w:lastRowFirstColumn="0" w:lastRowLastColumn="0"/>
              <w:rPr>
                <w:b w:val="0"/>
                <w:sz w:val="20"/>
                <w:szCs w:val="20"/>
              </w:rPr>
            </w:pPr>
            <w:r w:rsidRPr="008F66C4">
              <w:rPr>
                <w:sz w:val="20"/>
                <w:szCs w:val="20"/>
              </w:rPr>
              <w:t>funding or waivers</w:t>
            </w:r>
            <w:r w:rsidR="00C9375A" w:rsidRPr="008F66C4">
              <w:rPr>
                <w:rStyle w:val="FootnoteReference"/>
                <w:sz w:val="20"/>
                <w:szCs w:val="20"/>
              </w:rPr>
              <w:footnoteReference w:id="2"/>
            </w:r>
            <w:r w:rsidRPr="008F66C4">
              <w:rPr>
                <w:sz w:val="20"/>
                <w:szCs w:val="20"/>
              </w:rPr>
              <w:t xml:space="preserve"> </w:t>
            </w:r>
          </w:p>
        </w:tc>
        <w:tc>
          <w:tcPr>
            <w:tcW w:w="1530" w:type="dxa"/>
          </w:tcPr>
          <w:p w:rsidR="00A35B66" w:rsidRPr="008F66C4" w:rsidRDefault="00A35B66" w:rsidP="00A35B66">
            <w:pPr>
              <w:cnfStyle w:val="100000000000" w:firstRow="1" w:lastRow="0" w:firstColumn="0" w:lastColumn="0" w:oddVBand="0" w:evenVBand="0" w:oddHBand="0" w:evenHBand="0" w:firstRowFirstColumn="0" w:firstRowLastColumn="0" w:lastRowFirstColumn="0" w:lastRowLastColumn="0"/>
              <w:rPr>
                <w:b w:val="0"/>
                <w:sz w:val="20"/>
                <w:szCs w:val="20"/>
              </w:rPr>
            </w:pPr>
            <w:r w:rsidRPr="008F66C4">
              <w:rPr>
                <w:sz w:val="20"/>
                <w:szCs w:val="20"/>
              </w:rPr>
              <w:t>Cost to HS/IHE; funding models</w:t>
            </w:r>
          </w:p>
        </w:tc>
        <w:tc>
          <w:tcPr>
            <w:tcW w:w="4500" w:type="dxa"/>
          </w:tcPr>
          <w:p w:rsidR="00A35B66" w:rsidRPr="008F66C4" w:rsidRDefault="00A35B66">
            <w:pPr>
              <w:cnfStyle w:val="100000000000" w:firstRow="1" w:lastRow="0" w:firstColumn="0" w:lastColumn="0" w:oddVBand="0" w:evenVBand="0" w:oddHBand="0" w:evenHBand="0" w:firstRowFirstColumn="0" w:firstRowLastColumn="0" w:lastRowFirstColumn="0" w:lastRowLastColumn="0"/>
              <w:rPr>
                <w:b w:val="0"/>
                <w:sz w:val="20"/>
                <w:szCs w:val="20"/>
              </w:rPr>
            </w:pPr>
            <w:r w:rsidRPr="008F66C4">
              <w:rPr>
                <w:sz w:val="20"/>
                <w:szCs w:val="20"/>
              </w:rPr>
              <w:t>Key Issues</w:t>
            </w:r>
          </w:p>
          <w:p w:rsidR="00DF67D1" w:rsidRPr="008F66C4" w:rsidRDefault="00DF67D1">
            <w:pPr>
              <w:cnfStyle w:val="100000000000" w:firstRow="1" w:lastRow="0" w:firstColumn="0" w:lastColumn="0" w:oddVBand="0" w:evenVBand="0" w:oddHBand="0" w:evenHBand="0" w:firstRowFirstColumn="0" w:firstRowLastColumn="0" w:lastRowFirstColumn="0" w:lastRowLastColumn="0"/>
              <w:rPr>
                <w:b w:val="0"/>
                <w:sz w:val="20"/>
                <w:szCs w:val="20"/>
              </w:rPr>
            </w:pPr>
            <w:r w:rsidRPr="008F66C4">
              <w:rPr>
                <w:sz w:val="20"/>
                <w:szCs w:val="20"/>
              </w:rPr>
              <w:t>Relevant RCW/WAC</w:t>
            </w:r>
          </w:p>
        </w:tc>
      </w:tr>
    </w:tbl>
    <w:p w:rsidR="00C9375A" w:rsidRPr="001E4541" w:rsidRDefault="00C9375A" w:rsidP="00281F75">
      <w:pPr>
        <w:spacing w:after="0"/>
        <w:rPr>
          <w:b/>
          <w:color w:val="4F81BD" w:themeColor="accent1"/>
          <w:sz w:val="20"/>
          <w:szCs w:val="20"/>
        </w:rPr>
      </w:pPr>
      <w:r w:rsidRPr="001E4541">
        <w:rPr>
          <w:b/>
          <w:color w:val="4F81BD" w:themeColor="accent1"/>
          <w:sz w:val="20"/>
          <w:szCs w:val="20"/>
        </w:rPr>
        <w:t>Credit by Standardized Exam</w:t>
      </w:r>
    </w:p>
    <w:tbl>
      <w:tblPr>
        <w:tblStyle w:val="ListTable2-Accent1"/>
        <w:tblW w:w="23328" w:type="dxa"/>
        <w:shd w:val="clear" w:color="auto" w:fill="DBE5F1" w:themeFill="accent1" w:themeFillTint="33"/>
        <w:tblLayout w:type="fixed"/>
        <w:tblLook w:val="04A0" w:firstRow="1" w:lastRow="0" w:firstColumn="1" w:lastColumn="0" w:noHBand="0" w:noVBand="1"/>
      </w:tblPr>
      <w:tblGrid>
        <w:gridCol w:w="1707"/>
        <w:gridCol w:w="1097"/>
        <w:gridCol w:w="634"/>
        <w:gridCol w:w="810"/>
        <w:gridCol w:w="2160"/>
        <w:gridCol w:w="1350"/>
        <w:gridCol w:w="4410"/>
        <w:gridCol w:w="2790"/>
        <w:gridCol w:w="2340"/>
        <w:gridCol w:w="1777"/>
        <w:gridCol w:w="4253"/>
      </w:tblGrid>
      <w:tr w:rsidR="009310B7" w:rsidRPr="008F66C4" w:rsidTr="001E45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7" w:type="dxa"/>
            <w:shd w:val="clear" w:color="auto" w:fill="DBE5F1" w:themeFill="accent1" w:themeFillTint="33"/>
          </w:tcPr>
          <w:p w:rsidR="00A35B66" w:rsidRPr="008F66C4" w:rsidRDefault="00A35B66">
            <w:pPr>
              <w:rPr>
                <w:b w:val="0"/>
                <w:sz w:val="20"/>
                <w:szCs w:val="20"/>
              </w:rPr>
            </w:pPr>
            <w:r w:rsidRPr="008F66C4">
              <w:rPr>
                <w:sz w:val="20"/>
                <w:szCs w:val="20"/>
              </w:rPr>
              <w:t>Advanced Placement (AP)</w:t>
            </w:r>
          </w:p>
          <w:p w:rsidR="004F4515" w:rsidRPr="00E30051" w:rsidRDefault="004F4515" w:rsidP="004F4515">
            <w:pPr>
              <w:rPr>
                <w:b w:val="0"/>
                <w:sz w:val="20"/>
                <w:szCs w:val="20"/>
              </w:rPr>
            </w:pPr>
            <w:r w:rsidRPr="00E30051">
              <w:rPr>
                <w:b w:val="0"/>
                <w:sz w:val="20"/>
                <w:szCs w:val="20"/>
              </w:rPr>
              <w:t>302 schools</w:t>
            </w:r>
          </w:p>
        </w:tc>
        <w:tc>
          <w:tcPr>
            <w:tcW w:w="1097" w:type="dxa"/>
            <w:shd w:val="clear" w:color="auto" w:fill="DBE5F1" w:themeFill="accent1" w:themeFillTint="33"/>
          </w:tcPr>
          <w:p w:rsidR="00A35B66" w:rsidRDefault="00C92E62">
            <w:pPr>
              <w:cnfStyle w:val="100000000000" w:firstRow="1" w:lastRow="0" w:firstColumn="0" w:lastColumn="0" w:oddVBand="0" w:evenVBand="0" w:oddHBand="0" w:evenHBand="0" w:firstRowFirstColumn="0" w:firstRowLastColumn="0" w:lastRowFirstColumn="0" w:lastRowLastColumn="0"/>
              <w:rPr>
                <w:b w:val="0"/>
                <w:sz w:val="20"/>
                <w:szCs w:val="20"/>
              </w:rPr>
            </w:pPr>
            <w:r w:rsidRPr="001E4541">
              <w:rPr>
                <w:b w:val="0"/>
                <w:sz w:val="20"/>
                <w:szCs w:val="20"/>
              </w:rPr>
              <w:t>58,842</w:t>
            </w:r>
          </w:p>
          <w:p w:rsidR="0058583B" w:rsidRDefault="0058583B">
            <w:pPr>
              <w:cnfStyle w:val="100000000000" w:firstRow="1" w:lastRow="0" w:firstColumn="0" w:lastColumn="0" w:oddVBand="0" w:evenVBand="0" w:oddHBand="0" w:evenHBand="0" w:firstRowFirstColumn="0" w:firstRowLastColumn="0" w:lastRowFirstColumn="0" w:lastRowLastColumn="0"/>
              <w:rPr>
                <w:b w:val="0"/>
                <w:sz w:val="20"/>
                <w:szCs w:val="20"/>
              </w:rPr>
            </w:pPr>
          </w:p>
          <w:p w:rsidR="0058583B" w:rsidRPr="001E4541" w:rsidRDefault="0058583B">
            <w:pPr>
              <w:cnfStyle w:val="100000000000" w:firstRow="1" w:lastRow="0" w:firstColumn="0" w:lastColumn="0" w:oddVBand="0" w:evenVBand="0" w:oddHBand="0" w:evenHBand="0" w:firstRowFirstColumn="0" w:firstRowLastColumn="0" w:lastRowFirstColumn="0" w:lastRowLastColumn="0"/>
              <w:rPr>
                <w:b w:val="0"/>
                <w:sz w:val="20"/>
                <w:szCs w:val="20"/>
              </w:rPr>
            </w:pPr>
            <w:r>
              <w:rPr>
                <w:b w:val="0"/>
                <w:sz w:val="20"/>
                <w:szCs w:val="20"/>
              </w:rPr>
              <w:t>173,309</w:t>
            </w:r>
          </w:p>
        </w:tc>
        <w:tc>
          <w:tcPr>
            <w:tcW w:w="634" w:type="dxa"/>
            <w:shd w:val="clear" w:color="auto" w:fill="DBE5F1" w:themeFill="accent1" w:themeFillTint="33"/>
          </w:tcPr>
          <w:p w:rsidR="00A35B66" w:rsidRPr="001E4541" w:rsidRDefault="00A35B66">
            <w:pPr>
              <w:cnfStyle w:val="100000000000" w:firstRow="1" w:lastRow="0" w:firstColumn="0" w:lastColumn="0" w:oddVBand="0" w:evenVBand="0" w:oddHBand="0" w:evenHBand="0" w:firstRowFirstColumn="0" w:firstRowLastColumn="0" w:lastRowFirstColumn="0" w:lastRowLastColumn="0"/>
              <w:rPr>
                <w:b w:val="0"/>
                <w:sz w:val="20"/>
                <w:szCs w:val="20"/>
              </w:rPr>
            </w:pPr>
            <w:r w:rsidRPr="001E4541">
              <w:rPr>
                <w:b w:val="0"/>
                <w:sz w:val="20"/>
                <w:szCs w:val="20"/>
              </w:rPr>
              <w:t>HS</w:t>
            </w:r>
          </w:p>
        </w:tc>
        <w:tc>
          <w:tcPr>
            <w:tcW w:w="810" w:type="dxa"/>
            <w:shd w:val="clear" w:color="auto" w:fill="DBE5F1" w:themeFill="accent1" w:themeFillTint="33"/>
          </w:tcPr>
          <w:p w:rsidR="00A35B66" w:rsidRPr="001E4541" w:rsidRDefault="00A35B66">
            <w:pPr>
              <w:cnfStyle w:val="100000000000" w:firstRow="1" w:lastRow="0" w:firstColumn="0" w:lastColumn="0" w:oddVBand="0" w:evenVBand="0" w:oddHBand="0" w:evenHBand="0" w:firstRowFirstColumn="0" w:firstRowLastColumn="0" w:lastRowFirstColumn="0" w:lastRowLastColumn="0"/>
              <w:rPr>
                <w:b w:val="0"/>
                <w:sz w:val="20"/>
                <w:szCs w:val="20"/>
              </w:rPr>
            </w:pPr>
            <w:r w:rsidRPr="001E4541">
              <w:rPr>
                <w:b w:val="0"/>
                <w:sz w:val="20"/>
                <w:szCs w:val="20"/>
              </w:rPr>
              <w:t>HS</w:t>
            </w:r>
          </w:p>
        </w:tc>
        <w:tc>
          <w:tcPr>
            <w:tcW w:w="2160" w:type="dxa"/>
            <w:shd w:val="clear" w:color="auto" w:fill="DBE5F1" w:themeFill="accent1" w:themeFillTint="33"/>
          </w:tcPr>
          <w:p w:rsidR="00A35B66" w:rsidRPr="001E4541" w:rsidRDefault="00A35B66" w:rsidP="00415FAA">
            <w:pPr>
              <w:cnfStyle w:val="100000000000" w:firstRow="1" w:lastRow="0" w:firstColumn="0" w:lastColumn="0" w:oddVBand="0" w:evenVBand="0" w:oddHBand="0" w:evenHBand="0" w:firstRowFirstColumn="0" w:firstRowLastColumn="0" w:lastRowFirstColumn="0" w:lastRowLastColumn="0"/>
              <w:rPr>
                <w:b w:val="0"/>
                <w:sz w:val="20"/>
                <w:szCs w:val="20"/>
              </w:rPr>
            </w:pPr>
            <w:r w:rsidRPr="001E4541">
              <w:rPr>
                <w:b w:val="0"/>
                <w:sz w:val="20"/>
                <w:szCs w:val="20"/>
              </w:rPr>
              <w:t>College</w:t>
            </w:r>
            <w:r w:rsidR="00415FAA" w:rsidRPr="001E4541">
              <w:rPr>
                <w:b w:val="0"/>
                <w:sz w:val="20"/>
                <w:szCs w:val="20"/>
              </w:rPr>
              <w:t>-level curriculum approved by College Board/AP</w:t>
            </w:r>
          </w:p>
        </w:tc>
        <w:tc>
          <w:tcPr>
            <w:tcW w:w="1350" w:type="dxa"/>
            <w:shd w:val="clear" w:color="auto" w:fill="DBE5F1" w:themeFill="accent1" w:themeFillTint="33"/>
          </w:tcPr>
          <w:p w:rsidR="00A35B66" w:rsidRPr="001E4541" w:rsidRDefault="00A35B66">
            <w:pPr>
              <w:cnfStyle w:val="100000000000" w:firstRow="1" w:lastRow="0" w:firstColumn="0" w:lastColumn="0" w:oddVBand="0" w:evenVBand="0" w:oddHBand="0" w:evenHBand="0" w:firstRowFirstColumn="0" w:firstRowLastColumn="0" w:lastRowFirstColumn="0" w:lastRowLastColumn="0"/>
              <w:rPr>
                <w:b w:val="0"/>
                <w:sz w:val="20"/>
                <w:szCs w:val="20"/>
              </w:rPr>
            </w:pPr>
            <w:r w:rsidRPr="001E4541">
              <w:rPr>
                <w:b w:val="0"/>
                <w:sz w:val="20"/>
                <w:szCs w:val="20"/>
              </w:rPr>
              <w:t>Standardized Exam</w:t>
            </w:r>
          </w:p>
        </w:tc>
        <w:tc>
          <w:tcPr>
            <w:tcW w:w="4410" w:type="dxa"/>
            <w:shd w:val="clear" w:color="auto" w:fill="DBE5F1" w:themeFill="accent1" w:themeFillTint="33"/>
          </w:tcPr>
          <w:p w:rsidR="00A35B66" w:rsidRPr="001E4541" w:rsidRDefault="00A35B66" w:rsidP="008671B7">
            <w:pPr>
              <w:cnfStyle w:val="100000000000" w:firstRow="1" w:lastRow="0" w:firstColumn="0" w:lastColumn="0" w:oddVBand="0" w:evenVBand="0" w:oddHBand="0" w:evenHBand="0" w:firstRowFirstColumn="0" w:firstRowLastColumn="0" w:lastRowFirstColumn="0" w:lastRowLastColumn="0"/>
              <w:rPr>
                <w:b w:val="0"/>
                <w:sz w:val="20"/>
                <w:szCs w:val="20"/>
              </w:rPr>
            </w:pPr>
            <w:r w:rsidRPr="001E4541">
              <w:rPr>
                <w:b w:val="0"/>
                <w:sz w:val="20"/>
                <w:szCs w:val="20"/>
              </w:rPr>
              <w:t xml:space="preserve">Upon college evaluation of </w:t>
            </w:r>
            <w:r w:rsidR="008671B7" w:rsidRPr="001E4541">
              <w:rPr>
                <w:b w:val="0"/>
                <w:sz w:val="20"/>
                <w:szCs w:val="20"/>
              </w:rPr>
              <w:t>AP exam results</w:t>
            </w:r>
            <w:r w:rsidRPr="001E4541">
              <w:rPr>
                <w:b w:val="0"/>
                <w:sz w:val="20"/>
                <w:szCs w:val="20"/>
              </w:rPr>
              <w:t>. Amount of credit varies from institution to institution, AND whether credit applies as elective or to general education requirements.</w:t>
            </w:r>
          </w:p>
        </w:tc>
        <w:tc>
          <w:tcPr>
            <w:tcW w:w="2790" w:type="dxa"/>
            <w:shd w:val="clear" w:color="auto" w:fill="DBE5F1" w:themeFill="accent1" w:themeFillTint="33"/>
          </w:tcPr>
          <w:p w:rsidR="00A35B66" w:rsidRPr="001E4541" w:rsidRDefault="00A35B66">
            <w:pPr>
              <w:cnfStyle w:val="100000000000" w:firstRow="1" w:lastRow="0" w:firstColumn="0" w:lastColumn="0" w:oddVBand="0" w:evenVBand="0" w:oddHBand="0" w:evenHBand="0" w:firstRowFirstColumn="0" w:firstRowLastColumn="0" w:lastRowFirstColumn="0" w:lastRowLastColumn="0"/>
              <w:rPr>
                <w:b w:val="0"/>
                <w:sz w:val="20"/>
                <w:szCs w:val="20"/>
              </w:rPr>
            </w:pPr>
            <w:r w:rsidRPr="001E4541">
              <w:rPr>
                <w:b w:val="0"/>
                <w:sz w:val="20"/>
                <w:szCs w:val="20"/>
              </w:rPr>
              <w:t>Grades 9-12.</w:t>
            </w:r>
          </w:p>
          <w:p w:rsidR="00A35B66" w:rsidRPr="001E4541" w:rsidRDefault="00307D73" w:rsidP="00307D73">
            <w:pPr>
              <w:cnfStyle w:val="100000000000" w:firstRow="1" w:lastRow="0" w:firstColumn="0" w:lastColumn="0" w:oddVBand="0" w:evenVBand="0" w:oddHBand="0" w:evenHBand="0" w:firstRowFirstColumn="0" w:firstRowLastColumn="0" w:lastRowFirstColumn="0" w:lastRowLastColumn="0"/>
              <w:rPr>
                <w:b w:val="0"/>
                <w:sz w:val="20"/>
                <w:szCs w:val="20"/>
              </w:rPr>
            </w:pPr>
            <w:r w:rsidRPr="001E4541">
              <w:rPr>
                <w:b w:val="0"/>
                <w:sz w:val="20"/>
                <w:szCs w:val="20"/>
              </w:rPr>
              <w:t>Placement determined locally.</w:t>
            </w:r>
          </w:p>
        </w:tc>
        <w:tc>
          <w:tcPr>
            <w:tcW w:w="2340" w:type="dxa"/>
            <w:shd w:val="clear" w:color="auto" w:fill="DBE5F1" w:themeFill="accent1" w:themeFillTint="33"/>
          </w:tcPr>
          <w:p w:rsidR="00A35B66" w:rsidRPr="001E4541" w:rsidRDefault="00A35B66" w:rsidP="00774327">
            <w:pPr>
              <w:cnfStyle w:val="100000000000" w:firstRow="1" w:lastRow="0" w:firstColumn="0" w:lastColumn="0" w:oddVBand="0" w:evenVBand="0" w:oddHBand="0" w:evenHBand="0" w:firstRowFirstColumn="0" w:firstRowLastColumn="0" w:lastRowFirstColumn="0" w:lastRowLastColumn="0"/>
              <w:rPr>
                <w:b w:val="0"/>
                <w:sz w:val="20"/>
                <w:szCs w:val="20"/>
              </w:rPr>
            </w:pPr>
            <w:r w:rsidRPr="001E4541">
              <w:rPr>
                <w:b w:val="0"/>
                <w:sz w:val="20"/>
                <w:szCs w:val="20"/>
              </w:rPr>
              <w:t>Exams</w:t>
            </w:r>
            <w:r w:rsidR="00415FAA" w:rsidRPr="001E4541">
              <w:rPr>
                <w:b w:val="0"/>
                <w:sz w:val="20"/>
                <w:szCs w:val="20"/>
              </w:rPr>
              <w:t xml:space="preserve"> $</w:t>
            </w:r>
            <w:r w:rsidR="00774327" w:rsidRPr="001E4541">
              <w:rPr>
                <w:b w:val="0"/>
                <w:sz w:val="20"/>
                <w:szCs w:val="20"/>
              </w:rPr>
              <w:t>91</w:t>
            </w:r>
            <w:r w:rsidRPr="001E4541">
              <w:rPr>
                <w:b w:val="0"/>
                <w:sz w:val="20"/>
                <w:szCs w:val="20"/>
              </w:rPr>
              <w:t xml:space="preserve"> (FRPL waivers available</w:t>
            </w:r>
            <w:r w:rsidR="00C9375A" w:rsidRPr="001E4541">
              <w:rPr>
                <w:b w:val="0"/>
                <w:sz w:val="20"/>
                <w:szCs w:val="20"/>
              </w:rPr>
              <w:t>, reduced fee of $1</w:t>
            </w:r>
            <w:r w:rsidR="00DF0349">
              <w:rPr>
                <w:b w:val="0"/>
                <w:sz w:val="20"/>
                <w:szCs w:val="20"/>
              </w:rPr>
              <w:t>8; will be $12 in 2015)</w:t>
            </w:r>
          </w:p>
        </w:tc>
        <w:tc>
          <w:tcPr>
            <w:tcW w:w="1777" w:type="dxa"/>
            <w:shd w:val="clear" w:color="auto" w:fill="DBE5F1" w:themeFill="accent1" w:themeFillTint="33"/>
          </w:tcPr>
          <w:p w:rsidR="00A35B66" w:rsidRPr="001E4541" w:rsidRDefault="002E06A8">
            <w:pPr>
              <w:cnfStyle w:val="100000000000" w:firstRow="1" w:lastRow="0" w:firstColumn="0" w:lastColumn="0" w:oddVBand="0" w:evenVBand="0" w:oddHBand="0" w:evenHBand="0" w:firstRowFirstColumn="0" w:firstRowLastColumn="0" w:lastRowFirstColumn="0" w:lastRowLastColumn="0"/>
              <w:rPr>
                <w:b w:val="0"/>
                <w:sz w:val="20"/>
                <w:szCs w:val="20"/>
              </w:rPr>
            </w:pPr>
            <w:r w:rsidRPr="001E4541">
              <w:rPr>
                <w:b w:val="0"/>
                <w:sz w:val="20"/>
                <w:szCs w:val="20"/>
              </w:rPr>
              <w:t>No cost to HS, beyond teacher training.</w:t>
            </w:r>
          </w:p>
        </w:tc>
        <w:tc>
          <w:tcPr>
            <w:tcW w:w="4253" w:type="dxa"/>
            <w:shd w:val="clear" w:color="auto" w:fill="DBE5F1" w:themeFill="accent1" w:themeFillTint="33"/>
          </w:tcPr>
          <w:p w:rsidR="00A35B66" w:rsidRPr="00DF0349" w:rsidRDefault="00A35B66">
            <w:pPr>
              <w:cnfStyle w:val="100000000000" w:firstRow="1" w:lastRow="0" w:firstColumn="0" w:lastColumn="0" w:oddVBand="0" w:evenVBand="0" w:oddHBand="0" w:evenHBand="0" w:firstRowFirstColumn="0" w:firstRowLastColumn="0" w:lastRowFirstColumn="0" w:lastRowLastColumn="0"/>
              <w:rPr>
                <w:b w:val="0"/>
                <w:sz w:val="20"/>
                <w:szCs w:val="20"/>
              </w:rPr>
            </w:pPr>
            <w:r w:rsidRPr="00DF0349">
              <w:rPr>
                <w:b w:val="0"/>
                <w:sz w:val="20"/>
                <w:szCs w:val="20"/>
              </w:rPr>
              <w:t>Inconsistent award of credits, both number and type.</w:t>
            </w:r>
            <w:r w:rsidR="00734F30" w:rsidRPr="00DF0349">
              <w:rPr>
                <w:b w:val="0"/>
                <w:sz w:val="20"/>
                <w:szCs w:val="20"/>
              </w:rPr>
              <w:t xml:space="preserve"> </w:t>
            </w:r>
          </w:p>
          <w:p w:rsidR="00734F30" w:rsidRPr="008F66C4" w:rsidRDefault="00734F30">
            <w:pPr>
              <w:cnfStyle w:val="100000000000" w:firstRow="1" w:lastRow="0" w:firstColumn="0" w:lastColumn="0" w:oddVBand="0" w:evenVBand="0" w:oddHBand="0" w:evenHBand="0" w:firstRowFirstColumn="0" w:firstRowLastColumn="0" w:lastRowFirstColumn="0" w:lastRowLastColumn="0"/>
              <w:rPr>
                <w:sz w:val="20"/>
                <w:szCs w:val="20"/>
              </w:rPr>
            </w:pPr>
          </w:p>
        </w:tc>
      </w:tr>
      <w:tr w:rsidR="009310B7" w:rsidRPr="008F66C4" w:rsidTr="001E45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7" w:type="dxa"/>
          </w:tcPr>
          <w:p w:rsidR="00A35B66" w:rsidRPr="008F66C4" w:rsidRDefault="00A35B66">
            <w:pPr>
              <w:rPr>
                <w:b w:val="0"/>
                <w:sz w:val="20"/>
                <w:szCs w:val="20"/>
              </w:rPr>
            </w:pPr>
            <w:r w:rsidRPr="008F66C4">
              <w:rPr>
                <w:sz w:val="20"/>
                <w:szCs w:val="20"/>
              </w:rPr>
              <w:t>International Baccalaureate (IB)</w:t>
            </w:r>
          </w:p>
          <w:p w:rsidR="00415FAA" w:rsidRPr="00E30051" w:rsidRDefault="00415FAA">
            <w:pPr>
              <w:rPr>
                <w:b w:val="0"/>
                <w:sz w:val="20"/>
                <w:szCs w:val="20"/>
              </w:rPr>
            </w:pPr>
            <w:r w:rsidRPr="00E30051">
              <w:rPr>
                <w:b w:val="0"/>
                <w:sz w:val="20"/>
                <w:szCs w:val="20"/>
              </w:rPr>
              <w:t>16 schools</w:t>
            </w:r>
            <w:bookmarkStart w:id="0" w:name="_GoBack"/>
            <w:bookmarkEnd w:id="0"/>
          </w:p>
        </w:tc>
        <w:tc>
          <w:tcPr>
            <w:tcW w:w="1097" w:type="dxa"/>
          </w:tcPr>
          <w:p w:rsidR="00A35B66" w:rsidRDefault="00C92E6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7,760</w:t>
            </w:r>
          </w:p>
          <w:p w:rsidR="0058583B" w:rsidRDefault="0058583B">
            <w:pPr>
              <w:cnfStyle w:val="000000100000" w:firstRow="0" w:lastRow="0" w:firstColumn="0" w:lastColumn="0" w:oddVBand="0" w:evenVBand="0" w:oddHBand="1" w:evenHBand="0" w:firstRowFirstColumn="0" w:firstRowLastColumn="0" w:lastRowFirstColumn="0" w:lastRowLastColumn="0"/>
              <w:rPr>
                <w:sz w:val="20"/>
                <w:szCs w:val="20"/>
              </w:rPr>
            </w:pPr>
          </w:p>
          <w:p w:rsidR="0058583B" w:rsidRPr="008F66C4" w:rsidRDefault="0058583B">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40,824</w:t>
            </w:r>
          </w:p>
        </w:tc>
        <w:tc>
          <w:tcPr>
            <w:tcW w:w="634" w:type="dxa"/>
          </w:tcPr>
          <w:p w:rsidR="00A35B66" w:rsidRPr="008F66C4" w:rsidRDefault="00A35B66">
            <w:pPr>
              <w:cnfStyle w:val="000000100000" w:firstRow="0" w:lastRow="0" w:firstColumn="0" w:lastColumn="0" w:oddVBand="0" w:evenVBand="0" w:oddHBand="1" w:evenHBand="0" w:firstRowFirstColumn="0" w:firstRowLastColumn="0" w:lastRowFirstColumn="0" w:lastRowLastColumn="0"/>
              <w:rPr>
                <w:sz w:val="20"/>
                <w:szCs w:val="20"/>
              </w:rPr>
            </w:pPr>
            <w:r w:rsidRPr="008F66C4">
              <w:rPr>
                <w:sz w:val="20"/>
                <w:szCs w:val="20"/>
              </w:rPr>
              <w:t>HS</w:t>
            </w:r>
          </w:p>
        </w:tc>
        <w:tc>
          <w:tcPr>
            <w:tcW w:w="810" w:type="dxa"/>
          </w:tcPr>
          <w:p w:rsidR="00A35B66" w:rsidRPr="008F66C4" w:rsidRDefault="00A35B66">
            <w:pPr>
              <w:cnfStyle w:val="000000100000" w:firstRow="0" w:lastRow="0" w:firstColumn="0" w:lastColumn="0" w:oddVBand="0" w:evenVBand="0" w:oddHBand="1" w:evenHBand="0" w:firstRowFirstColumn="0" w:firstRowLastColumn="0" w:lastRowFirstColumn="0" w:lastRowLastColumn="0"/>
              <w:rPr>
                <w:sz w:val="20"/>
                <w:szCs w:val="20"/>
              </w:rPr>
            </w:pPr>
            <w:r w:rsidRPr="008F66C4">
              <w:rPr>
                <w:sz w:val="20"/>
                <w:szCs w:val="20"/>
              </w:rPr>
              <w:t>HS</w:t>
            </w:r>
          </w:p>
        </w:tc>
        <w:tc>
          <w:tcPr>
            <w:tcW w:w="2160" w:type="dxa"/>
          </w:tcPr>
          <w:p w:rsidR="00A35B66" w:rsidRPr="008F66C4" w:rsidRDefault="00AD5822">
            <w:pPr>
              <w:cnfStyle w:val="000000100000" w:firstRow="0" w:lastRow="0" w:firstColumn="0" w:lastColumn="0" w:oddVBand="0" w:evenVBand="0" w:oddHBand="1" w:evenHBand="0" w:firstRowFirstColumn="0" w:firstRowLastColumn="0" w:lastRowFirstColumn="0" w:lastRowLastColumn="0"/>
              <w:rPr>
                <w:sz w:val="20"/>
                <w:szCs w:val="20"/>
              </w:rPr>
            </w:pPr>
            <w:r w:rsidRPr="008F66C4">
              <w:rPr>
                <w:sz w:val="20"/>
                <w:szCs w:val="20"/>
              </w:rPr>
              <w:t>Standard Level and Higher Level courses; course syllabi are established via international collaboration</w:t>
            </w:r>
            <w:r w:rsidR="00974C8A" w:rsidRPr="008F66C4">
              <w:rPr>
                <w:sz w:val="20"/>
                <w:szCs w:val="20"/>
              </w:rPr>
              <w:t>.</w:t>
            </w:r>
          </w:p>
        </w:tc>
        <w:tc>
          <w:tcPr>
            <w:tcW w:w="1350" w:type="dxa"/>
          </w:tcPr>
          <w:p w:rsidR="00A35B66" w:rsidRPr="008F66C4" w:rsidRDefault="00A35B66">
            <w:pPr>
              <w:cnfStyle w:val="000000100000" w:firstRow="0" w:lastRow="0" w:firstColumn="0" w:lastColumn="0" w:oddVBand="0" w:evenVBand="0" w:oddHBand="1" w:evenHBand="0" w:firstRowFirstColumn="0" w:firstRowLastColumn="0" w:lastRowFirstColumn="0" w:lastRowLastColumn="0"/>
              <w:rPr>
                <w:sz w:val="20"/>
                <w:szCs w:val="20"/>
              </w:rPr>
            </w:pPr>
            <w:r w:rsidRPr="008F66C4">
              <w:rPr>
                <w:sz w:val="20"/>
                <w:szCs w:val="20"/>
              </w:rPr>
              <w:t>Course completion, plus Standardized Exam</w:t>
            </w:r>
          </w:p>
        </w:tc>
        <w:tc>
          <w:tcPr>
            <w:tcW w:w="4410" w:type="dxa"/>
          </w:tcPr>
          <w:p w:rsidR="00A35B66" w:rsidRPr="008F66C4" w:rsidRDefault="00A35B66">
            <w:pPr>
              <w:cnfStyle w:val="000000100000" w:firstRow="0" w:lastRow="0" w:firstColumn="0" w:lastColumn="0" w:oddVBand="0" w:evenVBand="0" w:oddHBand="1" w:evenHBand="0" w:firstRowFirstColumn="0" w:firstRowLastColumn="0" w:lastRowFirstColumn="0" w:lastRowLastColumn="0"/>
              <w:rPr>
                <w:sz w:val="20"/>
                <w:szCs w:val="20"/>
              </w:rPr>
            </w:pPr>
            <w:r w:rsidRPr="008F66C4">
              <w:rPr>
                <w:sz w:val="20"/>
                <w:szCs w:val="20"/>
              </w:rPr>
              <w:t xml:space="preserve">Upon college evaluation of </w:t>
            </w:r>
            <w:r w:rsidR="008671B7" w:rsidRPr="008F66C4">
              <w:rPr>
                <w:sz w:val="20"/>
                <w:szCs w:val="20"/>
              </w:rPr>
              <w:t>IB exam results</w:t>
            </w:r>
            <w:r w:rsidRPr="008F66C4">
              <w:rPr>
                <w:sz w:val="20"/>
                <w:szCs w:val="20"/>
              </w:rPr>
              <w:t>.</w:t>
            </w:r>
          </w:p>
          <w:p w:rsidR="00A35B66" w:rsidRPr="008F66C4" w:rsidRDefault="00A35B66">
            <w:pPr>
              <w:cnfStyle w:val="000000100000" w:firstRow="0" w:lastRow="0" w:firstColumn="0" w:lastColumn="0" w:oddVBand="0" w:evenVBand="0" w:oddHBand="1" w:evenHBand="0" w:firstRowFirstColumn="0" w:firstRowLastColumn="0" w:lastRowFirstColumn="0" w:lastRowLastColumn="0"/>
              <w:rPr>
                <w:sz w:val="20"/>
                <w:szCs w:val="20"/>
              </w:rPr>
            </w:pPr>
            <w:r w:rsidRPr="008F66C4">
              <w:rPr>
                <w:sz w:val="20"/>
                <w:szCs w:val="20"/>
              </w:rPr>
              <w:t>Amount varies.</w:t>
            </w:r>
          </w:p>
        </w:tc>
        <w:tc>
          <w:tcPr>
            <w:tcW w:w="2790" w:type="dxa"/>
          </w:tcPr>
          <w:p w:rsidR="00A35B66" w:rsidRPr="008F66C4" w:rsidRDefault="00A35B66">
            <w:pPr>
              <w:cnfStyle w:val="000000100000" w:firstRow="0" w:lastRow="0" w:firstColumn="0" w:lastColumn="0" w:oddVBand="0" w:evenVBand="0" w:oddHBand="1" w:evenHBand="0" w:firstRowFirstColumn="0" w:firstRowLastColumn="0" w:lastRowFirstColumn="0" w:lastRowLastColumn="0"/>
              <w:rPr>
                <w:sz w:val="20"/>
                <w:szCs w:val="20"/>
              </w:rPr>
            </w:pPr>
            <w:r w:rsidRPr="008F66C4">
              <w:rPr>
                <w:sz w:val="20"/>
                <w:szCs w:val="20"/>
              </w:rPr>
              <w:t>Grades 9-12.</w:t>
            </w:r>
          </w:p>
          <w:p w:rsidR="00A35B66" w:rsidRPr="008F66C4" w:rsidRDefault="00307D73">
            <w:pPr>
              <w:cnfStyle w:val="000000100000" w:firstRow="0" w:lastRow="0" w:firstColumn="0" w:lastColumn="0" w:oddVBand="0" w:evenVBand="0" w:oddHBand="1" w:evenHBand="0" w:firstRowFirstColumn="0" w:firstRowLastColumn="0" w:lastRowFirstColumn="0" w:lastRowLastColumn="0"/>
              <w:rPr>
                <w:sz w:val="20"/>
                <w:szCs w:val="20"/>
              </w:rPr>
            </w:pPr>
            <w:r w:rsidRPr="008F66C4">
              <w:rPr>
                <w:sz w:val="20"/>
                <w:szCs w:val="20"/>
              </w:rPr>
              <w:t>Placement determined locally.</w:t>
            </w:r>
          </w:p>
        </w:tc>
        <w:tc>
          <w:tcPr>
            <w:tcW w:w="2340" w:type="dxa"/>
          </w:tcPr>
          <w:p w:rsidR="00A35B66" w:rsidRPr="008F66C4" w:rsidRDefault="00415FAA">
            <w:pPr>
              <w:cnfStyle w:val="000000100000" w:firstRow="0" w:lastRow="0" w:firstColumn="0" w:lastColumn="0" w:oddVBand="0" w:evenVBand="0" w:oddHBand="1" w:evenHBand="0" w:firstRowFirstColumn="0" w:firstRowLastColumn="0" w:lastRowFirstColumn="0" w:lastRowLastColumn="0"/>
              <w:rPr>
                <w:sz w:val="20"/>
                <w:szCs w:val="20"/>
              </w:rPr>
            </w:pPr>
            <w:r w:rsidRPr="008F66C4">
              <w:rPr>
                <w:sz w:val="20"/>
                <w:szCs w:val="20"/>
              </w:rPr>
              <w:t xml:space="preserve">Registration fee $151, </w:t>
            </w:r>
            <w:r w:rsidR="00A35B66" w:rsidRPr="008F66C4">
              <w:rPr>
                <w:sz w:val="20"/>
                <w:szCs w:val="20"/>
              </w:rPr>
              <w:t>Exams</w:t>
            </w:r>
            <w:r w:rsidRPr="008F66C4">
              <w:rPr>
                <w:sz w:val="20"/>
                <w:szCs w:val="20"/>
              </w:rPr>
              <w:t xml:space="preserve"> $94</w:t>
            </w:r>
            <w:r w:rsidR="00A35B66" w:rsidRPr="008F66C4">
              <w:rPr>
                <w:sz w:val="20"/>
                <w:szCs w:val="20"/>
              </w:rPr>
              <w:t>;</w:t>
            </w:r>
            <w:r w:rsidRPr="008F66C4">
              <w:rPr>
                <w:sz w:val="20"/>
                <w:szCs w:val="20"/>
              </w:rPr>
              <w:t>(FRPL Reg. fee $15, exam $1</w:t>
            </w:r>
            <w:r w:rsidR="00DF0349">
              <w:rPr>
                <w:sz w:val="20"/>
                <w:szCs w:val="20"/>
              </w:rPr>
              <w:t>8; will be $12 in 2015)</w:t>
            </w:r>
            <w:r w:rsidRPr="008F66C4">
              <w:rPr>
                <w:sz w:val="20"/>
                <w:szCs w:val="20"/>
              </w:rPr>
              <w:t>)</w:t>
            </w:r>
          </w:p>
          <w:p w:rsidR="00A35B66" w:rsidRPr="008F66C4" w:rsidRDefault="00A35B66">
            <w:pPr>
              <w:cnfStyle w:val="000000100000" w:firstRow="0" w:lastRow="0" w:firstColumn="0" w:lastColumn="0" w:oddVBand="0" w:evenVBand="0" w:oddHBand="1" w:evenHBand="0" w:firstRowFirstColumn="0" w:firstRowLastColumn="0" w:lastRowFirstColumn="0" w:lastRowLastColumn="0"/>
              <w:rPr>
                <w:sz w:val="20"/>
                <w:szCs w:val="20"/>
              </w:rPr>
            </w:pPr>
          </w:p>
        </w:tc>
        <w:tc>
          <w:tcPr>
            <w:tcW w:w="1777" w:type="dxa"/>
          </w:tcPr>
          <w:p w:rsidR="00A35B66" w:rsidRPr="008F66C4" w:rsidRDefault="00415FAA">
            <w:pPr>
              <w:cnfStyle w:val="000000100000" w:firstRow="0" w:lastRow="0" w:firstColumn="0" w:lastColumn="0" w:oddVBand="0" w:evenVBand="0" w:oddHBand="1" w:evenHBand="0" w:firstRowFirstColumn="0" w:firstRowLastColumn="0" w:lastRowFirstColumn="0" w:lastRowLastColumn="0"/>
              <w:rPr>
                <w:sz w:val="20"/>
                <w:szCs w:val="20"/>
              </w:rPr>
            </w:pPr>
            <w:r w:rsidRPr="008F66C4">
              <w:rPr>
                <w:sz w:val="20"/>
                <w:szCs w:val="20"/>
              </w:rPr>
              <w:t xml:space="preserve">Annual school fee for diploma program. Initial training costs for teachers. </w:t>
            </w:r>
          </w:p>
        </w:tc>
        <w:tc>
          <w:tcPr>
            <w:tcW w:w="4253" w:type="dxa"/>
          </w:tcPr>
          <w:p w:rsidR="00A35B66" w:rsidRPr="008F66C4" w:rsidRDefault="00A35B66">
            <w:pPr>
              <w:cnfStyle w:val="000000100000" w:firstRow="0" w:lastRow="0" w:firstColumn="0" w:lastColumn="0" w:oddVBand="0" w:evenVBand="0" w:oddHBand="1" w:evenHBand="0" w:firstRowFirstColumn="0" w:firstRowLastColumn="0" w:lastRowFirstColumn="0" w:lastRowLastColumn="0"/>
              <w:rPr>
                <w:sz w:val="20"/>
                <w:szCs w:val="20"/>
              </w:rPr>
            </w:pPr>
            <w:r w:rsidRPr="008F66C4">
              <w:rPr>
                <w:sz w:val="20"/>
                <w:szCs w:val="20"/>
              </w:rPr>
              <w:t>SL not accepted as college-level work.</w:t>
            </w:r>
          </w:p>
        </w:tc>
      </w:tr>
      <w:tr w:rsidR="009310B7" w:rsidRPr="001E4541" w:rsidTr="001E4541">
        <w:tc>
          <w:tcPr>
            <w:cnfStyle w:val="001000000000" w:firstRow="0" w:lastRow="0" w:firstColumn="1" w:lastColumn="0" w:oddVBand="0" w:evenVBand="0" w:oddHBand="0" w:evenHBand="0" w:firstRowFirstColumn="0" w:firstRowLastColumn="0" w:lastRowFirstColumn="0" w:lastRowLastColumn="0"/>
            <w:tcW w:w="1707" w:type="dxa"/>
            <w:shd w:val="clear" w:color="auto" w:fill="DBE5F1" w:themeFill="accent1" w:themeFillTint="33"/>
          </w:tcPr>
          <w:p w:rsidR="00A35B66" w:rsidRPr="00E30051" w:rsidRDefault="00A35B66">
            <w:pPr>
              <w:rPr>
                <w:sz w:val="20"/>
                <w:szCs w:val="20"/>
              </w:rPr>
            </w:pPr>
            <w:r w:rsidRPr="00E30051">
              <w:rPr>
                <w:sz w:val="20"/>
                <w:szCs w:val="20"/>
              </w:rPr>
              <w:t>Cambridge International (CI)</w:t>
            </w:r>
          </w:p>
          <w:p w:rsidR="00415FAA" w:rsidRPr="001E4541" w:rsidRDefault="00415FAA">
            <w:pPr>
              <w:rPr>
                <w:b w:val="0"/>
                <w:sz w:val="20"/>
                <w:szCs w:val="20"/>
              </w:rPr>
            </w:pPr>
            <w:r w:rsidRPr="001E4541">
              <w:rPr>
                <w:b w:val="0"/>
                <w:sz w:val="20"/>
                <w:szCs w:val="20"/>
              </w:rPr>
              <w:t>2 schools</w:t>
            </w:r>
          </w:p>
        </w:tc>
        <w:tc>
          <w:tcPr>
            <w:tcW w:w="1097" w:type="dxa"/>
            <w:shd w:val="clear" w:color="auto" w:fill="DBE5F1" w:themeFill="accent1" w:themeFillTint="33"/>
          </w:tcPr>
          <w:p w:rsidR="00A35B66" w:rsidRDefault="004F4515">
            <w:pPr>
              <w:cnfStyle w:val="000000000000" w:firstRow="0" w:lastRow="0" w:firstColumn="0" w:lastColumn="0" w:oddVBand="0" w:evenVBand="0" w:oddHBand="0" w:evenHBand="0" w:firstRowFirstColumn="0" w:firstRowLastColumn="0" w:lastRowFirstColumn="0" w:lastRowLastColumn="0"/>
              <w:rPr>
                <w:sz w:val="20"/>
                <w:szCs w:val="20"/>
              </w:rPr>
            </w:pPr>
            <w:r w:rsidRPr="001E4541">
              <w:rPr>
                <w:sz w:val="20"/>
                <w:szCs w:val="20"/>
              </w:rPr>
              <w:t>1</w:t>
            </w:r>
            <w:r w:rsidR="00C502FD" w:rsidRPr="001E4541">
              <w:rPr>
                <w:sz w:val="20"/>
                <w:szCs w:val="20"/>
              </w:rPr>
              <w:t>,</w:t>
            </w:r>
            <w:r w:rsidRPr="001E4541">
              <w:rPr>
                <w:sz w:val="20"/>
                <w:szCs w:val="20"/>
              </w:rPr>
              <w:t>087</w:t>
            </w:r>
          </w:p>
          <w:p w:rsidR="0058583B" w:rsidRDefault="0058583B">
            <w:pPr>
              <w:cnfStyle w:val="000000000000" w:firstRow="0" w:lastRow="0" w:firstColumn="0" w:lastColumn="0" w:oddVBand="0" w:evenVBand="0" w:oddHBand="0" w:evenHBand="0" w:firstRowFirstColumn="0" w:firstRowLastColumn="0" w:lastRowFirstColumn="0" w:lastRowLastColumn="0"/>
              <w:rPr>
                <w:sz w:val="20"/>
                <w:szCs w:val="20"/>
              </w:rPr>
            </w:pPr>
          </w:p>
          <w:p w:rsidR="0058583B" w:rsidRPr="001E4541" w:rsidRDefault="0058583B">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5,741</w:t>
            </w:r>
          </w:p>
        </w:tc>
        <w:tc>
          <w:tcPr>
            <w:tcW w:w="634" w:type="dxa"/>
            <w:shd w:val="clear" w:color="auto" w:fill="DBE5F1" w:themeFill="accent1" w:themeFillTint="33"/>
          </w:tcPr>
          <w:p w:rsidR="00A35B66" w:rsidRPr="001E4541" w:rsidRDefault="00A35B66">
            <w:pPr>
              <w:cnfStyle w:val="000000000000" w:firstRow="0" w:lastRow="0" w:firstColumn="0" w:lastColumn="0" w:oddVBand="0" w:evenVBand="0" w:oddHBand="0" w:evenHBand="0" w:firstRowFirstColumn="0" w:firstRowLastColumn="0" w:lastRowFirstColumn="0" w:lastRowLastColumn="0"/>
              <w:rPr>
                <w:sz w:val="20"/>
                <w:szCs w:val="20"/>
              </w:rPr>
            </w:pPr>
            <w:r w:rsidRPr="001E4541">
              <w:rPr>
                <w:sz w:val="20"/>
                <w:szCs w:val="20"/>
              </w:rPr>
              <w:t>HS</w:t>
            </w:r>
          </w:p>
        </w:tc>
        <w:tc>
          <w:tcPr>
            <w:tcW w:w="810" w:type="dxa"/>
            <w:shd w:val="clear" w:color="auto" w:fill="DBE5F1" w:themeFill="accent1" w:themeFillTint="33"/>
          </w:tcPr>
          <w:p w:rsidR="00A35B66" w:rsidRPr="001E4541" w:rsidRDefault="00A35B66">
            <w:pPr>
              <w:cnfStyle w:val="000000000000" w:firstRow="0" w:lastRow="0" w:firstColumn="0" w:lastColumn="0" w:oddVBand="0" w:evenVBand="0" w:oddHBand="0" w:evenHBand="0" w:firstRowFirstColumn="0" w:firstRowLastColumn="0" w:lastRowFirstColumn="0" w:lastRowLastColumn="0"/>
              <w:rPr>
                <w:sz w:val="20"/>
                <w:szCs w:val="20"/>
              </w:rPr>
            </w:pPr>
            <w:r w:rsidRPr="001E4541">
              <w:rPr>
                <w:sz w:val="20"/>
                <w:szCs w:val="20"/>
              </w:rPr>
              <w:t>HS</w:t>
            </w:r>
          </w:p>
        </w:tc>
        <w:tc>
          <w:tcPr>
            <w:tcW w:w="2160" w:type="dxa"/>
            <w:shd w:val="clear" w:color="auto" w:fill="DBE5F1" w:themeFill="accent1" w:themeFillTint="33"/>
          </w:tcPr>
          <w:p w:rsidR="00A35B66" w:rsidRPr="001E4541" w:rsidRDefault="004F4515" w:rsidP="004F4515">
            <w:pPr>
              <w:cnfStyle w:val="000000000000" w:firstRow="0" w:lastRow="0" w:firstColumn="0" w:lastColumn="0" w:oddVBand="0" w:evenVBand="0" w:oddHBand="0" w:evenHBand="0" w:firstRowFirstColumn="0" w:firstRowLastColumn="0" w:lastRowFirstColumn="0" w:lastRowLastColumn="0"/>
              <w:rPr>
                <w:sz w:val="20"/>
                <w:szCs w:val="20"/>
              </w:rPr>
            </w:pPr>
            <w:r w:rsidRPr="001E4541">
              <w:rPr>
                <w:sz w:val="20"/>
                <w:szCs w:val="20"/>
              </w:rPr>
              <w:t>Int’l curriculum aligned with Cambridge University in the UK.</w:t>
            </w:r>
          </w:p>
        </w:tc>
        <w:tc>
          <w:tcPr>
            <w:tcW w:w="1350" w:type="dxa"/>
            <w:shd w:val="clear" w:color="auto" w:fill="DBE5F1" w:themeFill="accent1" w:themeFillTint="33"/>
          </w:tcPr>
          <w:p w:rsidR="00A35B66" w:rsidRPr="001E4541" w:rsidRDefault="00A35B66">
            <w:pPr>
              <w:cnfStyle w:val="000000000000" w:firstRow="0" w:lastRow="0" w:firstColumn="0" w:lastColumn="0" w:oddVBand="0" w:evenVBand="0" w:oddHBand="0" w:evenHBand="0" w:firstRowFirstColumn="0" w:firstRowLastColumn="0" w:lastRowFirstColumn="0" w:lastRowLastColumn="0"/>
              <w:rPr>
                <w:sz w:val="20"/>
                <w:szCs w:val="20"/>
              </w:rPr>
            </w:pPr>
            <w:r w:rsidRPr="001E4541">
              <w:rPr>
                <w:sz w:val="20"/>
                <w:szCs w:val="20"/>
              </w:rPr>
              <w:t>Standardized Exam</w:t>
            </w:r>
          </w:p>
        </w:tc>
        <w:tc>
          <w:tcPr>
            <w:tcW w:w="4410" w:type="dxa"/>
            <w:shd w:val="clear" w:color="auto" w:fill="DBE5F1" w:themeFill="accent1" w:themeFillTint="33"/>
          </w:tcPr>
          <w:p w:rsidR="00A35B66" w:rsidRPr="001E4541" w:rsidRDefault="00A35B66">
            <w:pPr>
              <w:cnfStyle w:val="000000000000" w:firstRow="0" w:lastRow="0" w:firstColumn="0" w:lastColumn="0" w:oddVBand="0" w:evenVBand="0" w:oddHBand="0" w:evenHBand="0" w:firstRowFirstColumn="0" w:firstRowLastColumn="0" w:lastRowFirstColumn="0" w:lastRowLastColumn="0"/>
              <w:rPr>
                <w:sz w:val="20"/>
                <w:szCs w:val="20"/>
              </w:rPr>
            </w:pPr>
            <w:r w:rsidRPr="001E4541">
              <w:rPr>
                <w:sz w:val="20"/>
                <w:szCs w:val="20"/>
              </w:rPr>
              <w:t xml:space="preserve">Upon college evaluation of </w:t>
            </w:r>
            <w:r w:rsidR="008671B7" w:rsidRPr="001E4541">
              <w:rPr>
                <w:sz w:val="20"/>
                <w:szCs w:val="20"/>
              </w:rPr>
              <w:t>CI exam results</w:t>
            </w:r>
            <w:r w:rsidRPr="001E4541">
              <w:rPr>
                <w:sz w:val="20"/>
                <w:szCs w:val="20"/>
              </w:rPr>
              <w:t>.</w:t>
            </w:r>
          </w:p>
          <w:p w:rsidR="00A35B66" w:rsidRPr="001E4541" w:rsidRDefault="00A35B66">
            <w:pPr>
              <w:cnfStyle w:val="000000000000" w:firstRow="0" w:lastRow="0" w:firstColumn="0" w:lastColumn="0" w:oddVBand="0" w:evenVBand="0" w:oddHBand="0" w:evenHBand="0" w:firstRowFirstColumn="0" w:firstRowLastColumn="0" w:lastRowFirstColumn="0" w:lastRowLastColumn="0"/>
              <w:rPr>
                <w:sz w:val="20"/>
                <w:szCs w:val="20"/>
              </w:rPr>
            </w:pPr>
            <w:r w:rsidRPr="001E4541">
              <w:rPr>
                <w:sz w:val="20"/>
                <w:szCs w:val="20"/>
              </w:rPr>
              <w:t>Amount varies.</w:t>
            </w:r>
          </w:p>
        </w:tc>
        <w:tc>
          <w:tcPr>
            <w:tcW w:w="2790" w:type="dxa"/>
            <w:shd w:val="clear" w:color="auto" w:fill="DBE5F1" w:themeFill="accent1" w:themeFillTint="33"/>
          </w:tcPr>
          <w:p w:rsidR="00A35B66" w:rsidRPr="001E4541" w:rsidRDefault="00A35B66">
            <w:pPr>
              <w:cnfStyle w:val="000000000000" w:firstRow="0" w:lastRow="0" w:firstColumn="0" w:lastColumn="0" w:oddVBand="0" w:evenVBand="0" w:oddHBand="0" w:evenHBand="0" w:firstRowFirstColumn="0" w:firstRowLastColumn="0" w:lastRowFirstColumn="0" w:lastRowLastColumn="0"/>
              <w:rPr>
                <w:sz w:val="20"/>
                <w:szCs w:val="20"/>
              </w:rPr>
            </w:pPr>
            <w:r w:rsidRPr="001E4541">
              <w:rPr>
                <w:sz w:val="20"/>
                <w:szCs w:val="20"/>
              </w:rPr>
              <w:t>Grades 9-12.</w:t>
            </w:r>
          </w:p>
          <w:p w:rsidR="00A35B66" w:rsidRPr="001E4541" w:rsidRDefault="00307D73">
            <w:pPr>
              <w:cnfStyle w:val="000000000000" w:firstRow="0" w:lastRow="0" w:firstColumn="0" w:lastColumn="0" w:oddVBand="0" w:evenVBand="0" w:oddHBand="0" w:evenHBand="0" w:firstRowFirstColumn="0" w:firstRowLastColumn="0" w:lastRowFirstColumn="0" w:lastRowLastColumn="0"/>
              <w:rPr>
                <w:sz w:val="20"/>
                <w:szCs w:val="20"/>
              </w:rPr>
            </w:pPr>
            <w:r w:rsidRPr="001E4541">
              <w:rPr>
                <w:sz w:val="20"/>
                <w:szCs w:val="20"/>
              </w:rPr>
              <w:t>Placement determined locally.</w:t>
            </w:r>
          </w:p>
        </w:tc>
        <w:tc>
          <w:tcPr>
            <w:tcW w:w="2340" w:type="dxa"/>
            <w:shd w:val="clear" w:color="auto" w:fill="DBE5F1" w:themeFill="accent1" w:themeFillTint="33"/>
          </w:tcPr>
          <w:p w:rsidR="00A35B66" w:rsidRPr="001E4541" w:rsidRDefault="00A35B66">
            <w:pPr>
              <w:cnfStyle w:val="000000000000" w:firstRow="0" w:lastRow="0" w:firstColumn="0" w:lastColumn="0" w:oddVBand="0" w:evenVBand="0" w:oddHBand="0" w:evenHBand="0" w:firstRowFirstColumn="0" w:firstRowLastColumn="0" w:lastRowFirstColumn="0" w:lastRowLastColumn="0"/>
              <w:rPr>
                <w:sz w:val="20"/>
                <w:szCs w:val="20"/>
              </w:rPr>
            </w:pPr>
            <w:r w:rsidRPr="001E4541">
              <w:rPr>
                <w:sz w:val="20"/>
                <w:szCs w:val="20"/>
              </w:rPr>
              <w:t>Exams;</w:t>
            </w:r>
          </w:p>
          <w:p w:rsidR="00A35B66" w:rsidRPr="001E4541" w:rsidRDefault="00C9375A" w:rsidP="00DF0349">
            <w:pPr>
              <w:cnfStyle w:val="000000000000" w:firstRow="0" w:lastRow="0" w:firstColumn="0" w:lastColumn="0" w:oddVBand="0" w:evenVBand="0" w:oddHBand="0" w:evenHBand="0" w:firstRowFirstColumn="0" w:firstRowLastColumn="0" w:lastRowFirstColumn="0" w:lastRowLastColumn="0"/>
              <w:rPr>
                <w:sz w:val="20"/>
                <w:szCs w:val="20"/>
              </w:rPr>
            </w:pPr>
            <w:r w:rsidRPr="001E4541">
              <w:rPr>
                <w:sz w:val="20"/>
                <w:szCs w:val="20"/>
              </w:rPr>
              <w:t>(FRPL reduced fee of $1</w:t>
            </w:r>
            <w:r w:rsidR="00DF0349">
              <w:rPr>
                <w:sz w:val="20"/>
                <w:szCs w:val="20"/>
              </w:rPr>
              <w:t>8; $12 in 2015</w:t>
            </w:r>
            <w:r w:rsidRPr="001E4541">
              <w:rPr>
                <w:sz w:val="20"/>
                <w:szCs w:val="20"/>
              </w:rPr>
              <w:t>)</w:t>
            </w:r>
          </w:p>
        </w:tc>
        <w:tc>
          <w:tcPr>
            <w:tcW w:w="1777" w:type="dxa"/>
            <w:shd w:val="clear" w:color="auto" w:fill="DBE5F1" w:themeFill="accent1" w:themeFillTint="33"/>
          </w:tcPr>
          <w:p w:rsidR="00A35B66" w:rsidRPr="001E4541" w:rsidRDefault="00A35B66">
            <w:pPr>
              <w:cnfStyle w:val="000000000000" w:firstRow="0" w:lastRow="0" w:firstColumn="0" w:lastColumn="0" w:oddVBand="0" w:evenVBand="0" w:oddHBand="0" w:evenHBand="0" w:firstRowFirstColumn="0" w:firstRowLastColumn="0" w:lastRowFirstColumn="0" w:lastRowLastColumn="0"/>
              <w:rPr>
                <w:b/>
                <w:sz w:val="20"/>
                <w:szCs w:val="20"/>
              </w:rPr>
            </w:pPr>
          </w:p>
        </w:tc>
        <w:tc>
          <w:tcPr>
            <w:tcW w:w="4253" w:type="dxa"/>
            <w:shd w:val="clear" w:color="auto" w:fill="DBE5F1" w:themeFill="accent1" w:themeFillTint="33"/>
          </w:tcPr>
          <w:p w:rsidR="00A35B66" w:rsidRPr="001E4541" w:rsidRDefault="00A35B66">
            <w:pPr>
              <w:cnfStyle w:val="000000000000" w:firstRow="0" w:lastRow="0" w:firstColumn="0" w:lastColumn="0" w:oddVBand="0" w:evenVBand="0" w:oddHBand="0" w:evenHBand="0" w:firstRowFirstColumn="0" w:firstRowLastColumn="0" w:lastRowFirstColumn="0" w:lastRowLastColumn="0"/>
              <w:rPr>
                <w:b/>
                <w:sz w:val="20"/>
                <w:szCs w:val="20"/>
              </w:rPr>
            </w:pPr>
          </w:p>
        </w:tc>
      </w:tr>
    </w:tbl>
    <w:p w:rsidR="00C9375A" w:rsidRPr="001E4541" w:rsidRDefault="00C9375A" w:rsidP="00281F75">
      <w:pPr>
        <w:spacing w:after="0"/>
        <w:rPr>
          <w:color w:val="4F6228" w:themeColor="accent3" w:themeShade="80"/>
          <w:sz w:val="20"/>
          <w:szCs w:val="20"/>
        </w:rPr>
      </w:pPr>
      <w:r w:rsidRPr="001E4541">
        <w:rPr>
          <w:b/>
          <w:color w:val="4F6228" w:themeColor="accent3" w:themeShade="80"/>
          <w:sz w:val="20"/>
          <w:szCs w:val="20"/>
        </w:rPr>
        <w:t>Credit by Articulation</w:t>
      </w:r>
    </w:p>
    <w:tbl>
      <w:tblPr>
        <w:tblStyle w:val="ListTable2-Accent3"/>
        <w:tblW w:w="23294" w:type="dxa"/>
        <w:shd w:val="clear" w:color="auto" w:fill="EAF1DD" w:themeFill="accent3" w:themeFillTint="33"/>
        <w:tblLayout w:type="fixed"/>
        <w:tblLook w:val="04A0" w:firstRow="1" w:lastRow="0" w:firstColumn="1" w:lastColumn="0" w:noHBand="0" w:noVBand="1"/>
      </w:tblPr>
      <w:tblGrid>
        <w:gridCol w:w="1707"/>
        <w:gridCol w:w="1097"/>
        <w:gridCol w:w="634"/>
        <w:gridCol w:w="810"/>
        <w:gridCol w:w="2160"/>
        <w:gridCol w:w="1350"/>
        <w:gridCol w:w="4410"/>
        <w:gridCol w:w="2790"/>
        <w:gridCol w:w="2340"/>
        <w:gridCol w:w="1777"/>
        <w:gridCol w:w="4219"/>
      </w:tblGrid>
      <w:tr w:rsidR="00DF0349" w:rsidRPr="008F66C4" w:rsidTr="00DF03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7" w:type="dxa"/>
            <w:shd w:val="clear" w:color="auto" w:fill="EAF1DD" w:themeFill="accent3" w:themeFillTint="33"/>
          </w:tcPr>
          <w:p w:rsidR="00A35B66" w:rsidRPr="00E30051" w:rsidRDefault="00A35B66">
            <w:pPr>
              <w:rPr>
                <w:sz w:val="20"/>
                <w:szCs w:val="20"/>
              </w:rPr>
            </w:pPr>
            <w:r w:rsidRPr="00E30051">
              <w:rPr>
                <w:sz w:val="20"/>
                <w:szCs w:val="20"/>
              </w:rPr>
              <w:t>Tech Prep (TP)</w:t>
            </w:r>
          </w:p>
          <w:p w:rsidR="00DF67D1" w:rsidRPr="00E30051" w:rsidRDefault="00DF67D1" w:rsidP="00DF67D1">
            <w:pPr>
              <w:pStyle w:val="Default"/>
              <w:spacing w:after="18"/>
              <w:rPr>
                <w:rFonts w:asciiTheme="minorHAnsi" w:hAnsiTheme="minorHAnsi" w:cstheme="minorBidi"/>
                <w:b w:val="0"/>
                <w:color w:val="auto"/>
                <w:sz w:val="20"/>
                <w:szCs w:val="20"/>
              </w:rPr>
            </w:pPr>
            <w:r w:rsidRPr="00E30051">
              <w:rPr>
                <w:rFonts w:asciiTheme="minorHAnsi" w:hAnsiTheme="minorHAnsi" w:cstheme="minorBidi"/>
                <w:b w:val="0"/>
                <w:color w:val="auto"/>
                <w:sz w:val="20"/>
                <w:szCs w:val="20"/>
              </w:rPr>
              <w:t xml:space="preserve"> 22 consortia </w:t>
            </w:r>
          </w:p>
          <w:p w:rsidR="00DF67D1" w:rsidRPr="00E30051" w:rsidRDefault="00DF67D1" w:rsidP="00DF67D1">
            <w:pPr>
              <w:pStyle w:val="Default"/>
              <w:spacing w:after="18"/>
              <w:rPr>
                <w:rFonts w:asciiTheme="minorHAnsi" w:hAnsiTheme="minorHAnsi" w:cstheme="minorBidi"/>
                <w:b w:val="0"/>
                <w:color w:val="auto"/>
                <w:sz w:val="20"/>
                <w:szCs w:val="20"/>
              </w:rPr>
            </w:pPr>
            <w:r w:rsidRPr="00E30051">
              <w:rPr>
                <w:rFonts w:asciiTheme="minorHAnsi" w:hAnsiTheme="minorHAnsi" w:cstheme="minorBidi"/>
                <w:b w:val="0"/>
                <w:color w:val="auto"/>
                <w:sz w:val="20"/>
                <w:szCs w:val="20"/>
              </w:rPr>
              <w:t xml:space="preserve"> 34 community and technical colleges </w:t>
            </w:r>
          </w:p>
          <w:p w:rsidR="00DF67D1" w:rsidRPr="00E30051" w:rsidRDefault="00DF67D1" w:rsidP="00DF67D1">
            <w:pPr>
              <w:pStyle w:val="Default"/>
              <w:spacing w:after="18"/>
              <w:rPr>
                <w:rFonts w:asciiTheme="minorHAnsi" w:hAnsiTheme="minorHAnsi" w:cstheme="minorBidi"/>
                <w:b w:val="0"/>
                <w:color w:val="auto"/>
                <w:sz w:val="20"/>
                <w:szCs w:val="20"/>
              </w:rPr>
            </w:pPr>
            <w:r w:rsidRPr="00E30051">
              <w:rPr>
                <w:rFonts w:asciiTheme="minorHAnsi" w:hAnsiTheme="minorHAnsi" w:cstheme="minorBidi"/>
                <w:b w:val="0"/>
                <w:color w:val="auto"/>
                <w:sz w:val="20"/>
                <w:szCs w:val="20"/>
              </w:rPr>
              <w:t xml:space="preserve">373 high schools </w:t>
            </w:r>
          </w:p>
          <w:p w:rsidR="00DF67D1" w:rsidRPr="00E30051" w:rsidRDefault="00DF67D1" w:rsidP="00281F75">
            <w:pPr>
              <w:pStyle w:val="Default"/>
              <w:rPr>
                <w:rFonts w:asciiTheme="minorHAnsi" w:hAnsiTheme="minorHAnsi" w:cstheme="minorBidi"/>
                <w:b w:val="0"/>
                <w:color w:val="auto"/>
                <w:sz w:val="20"/>
                <w:szCs w:val="20"/>
              </w:rPr>
            </w:pPr>
            <w:r w:rsidRPr="00E30051">
              <w:rPr>
                <w:rFonts w:asciiTheme="minorHAnsi" w:hAnsiTheme="minorHAnsi" w:cstheme="minorBidi"/>
                <w:b w:val="0"/>
                <w:color w:val="auto"/>
                <w:sz w:val="20"/>
                <w:szCs w:val="20"/>
              </w:rPr>
              <w:t xml:space="preserve">13 skill centers </w:t>
            </w:r>
          </w:p>
        </w:tc>
        <w:tc>
          <w:tcPr>
            <w:tcW w:w="1097" w:type="dxa"/>
            <w:shd w:val="clear" w:color="auto" w:fill="EAF1DD" w:themeFill="accent3" w:themeFillTint="33"/>
          </w:tcPr>
          <w:tbl>
            <w:tblPr>
              <w:tblW w:w="0" w:type="auto"/>
              <w:tblBorders>
                <w:top w:val="nil"/>
                <w:left w:val="nil"/>
                <w:bottom w:val="nil"/>
                <w:right w:val="nil"/>
              </w:tblBorders>
              <w:tblLayout w:type="fixed"/>
              <w:tblLook w:val="0000" w:firstRow="0" w:lastRow="0" w:firstColumn="0" w:lastColumn="0" w:noHBand="0" w:noVBand="0"/>
            </w:tblPr>
            <w:tblGrid>
              <w:gridCol w:w="6469"/>
            </w:tblGrid>
            <w:tr w:rsidR="005B1792" w:rsidRPr="00E30051">
              <w:trPr>
                <w:trHeight w:val="160"/>
              </w:trPr>
              <w:tc>
                <w:tcPr>
                  <w:tcW w:w="6469" w:type="dxa"/>
                </w:tcPr>
                <w:p w:rsidR="005B1792" w:rsidRDefault="00C92E62" w:rsidP="005B1792">
                  <w:pPr>
                    <w:autoSpaceDE w:val="0"/>
                    <w:autoSpaceDN w:val="0"/>
                    <w:adjustRightInd w:val="0"/>
                    <w:spacing w:after="0" w:line="240" w:lineRule="auto"/>
                    <w:rPr>
                      <w:rFonts w:ascii="Calibri" w:hAnsi="Calibri" w:cs="Calibri"/>
                      <w:color w:val="000000"/>
                      <w:sz w:val="20"/>
                      <w:szCs w:val="20"/>
                    </w:rPr>
                  </w:pPr>
                  <w:r w:rsidRPr="00E30051">
                    <w:rPr>
                      <w:rFonts w:ascii="Calibri" w:hAnsi="Calibri" w:cs="Calibri"/>
                      <w:color w:val="000000"/>
                      <w:sz w:val="20"/>
                      <w:szCs w:val="20"/>
                    </w:rPr>
                    <w:t>120,848</w:t>
                  </w:r>
                  <w:r w:rsidR="005B1792" w:rsidRPr="00E30051">
                    <w:rPr>
                      <w:rStyle w:val="FootnoteReference"/>
                      <w:rFonts w:ascii="Calibri" w:hAnsi="Calibri" w:cs="Calibri"/>
                      <w:color w:val="000000"/>
                      <w:sz w:val="20"/>
                      <w:szCs w:val="20"/>
                    </w:rPr>
                    <w:footnoteReference w:id="3"/>
                  </w:r>
                  <w:r w:rsidR="005B1792" w:rsidRPr="00E30051">
                    <w:rPr>
                      <w:rFonts w:ascii="Calibri" w:hAnsi="Calibri" w:cs="Calibri"/>
                      <w:color w:val="000000"/>
                      <w:sz w:val="20"/>
                      <w:szCs w:val="20"/>
                    </w:rPr>
                    <w:t xml:space="preserve"> </w:t>
                  </w:r>
                </w:p>
                <w:p w:rsidR="0058583B" w:rsidRDefault="0058583B" w:rsidP="005B1792">
                  <w:pPr>
                    <w:autoSpaceDE w:val="0"/>
                    <w:autoSpaceDN w:val="0"/>
                    <w:adjustRightInd w:val="0"/>
                    <w:spacing w:after="0" w:line="240" w:lineRule="auto"/>
                    <w:rPr>
                      <w:rFonts w:ascii="Calibri" w:hAnsi="Calibri" w:cs="Calibri"/>
                      <w:color w:val="000000"/>
                      <w:sz w:val="20"/>
                      <w:szCs w:val="20"/>
                    </w:rPr>
                  </w:pPr>
                </w:p>
                <w:p w:rsidR="0058583B" w:rsidRPr="00E30051" w:rsidRDefault="0058583B" w:rsidP="005B1792">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208,287</w:t>
                  </w:r>
                </w:p>
              </w:tc>
            </w:tr>
          </w:tbl>
          <w:p w:rsidR="00A35B66" w:rsidRPr="00E30051" w:rsidRDefault="00A35B66">
            <w:pPr>
              <w:cnfStyle w:val="100000000000" w:firstRow="1" w:lastRow="0" w:firstColumn="0" w:lastColumn="0" w:oddVBand="0" w:evenVBand="0" w:oddHBand="0" w:evenHBand="0" w:firstRowFirstColumn="0" w:firstRowLastColumn="0" w:lastRowFirstColumn="0" w:lastRowLastColumn="0"/>
              <w:rPr>
                <w:b w:val="0"/>
                <w:sz w:val="20"/>
                <w:szCs w:val="20"/>
              </w:rPr>
            </w:pPr>
          </w:p>
        </w:tc>
        <w:tc>
          <w:tcPr>
            <w:tcW w:w="634" w:type="dxa"/>
            <w:shd w:val="clear" w:color="auto" w:fill="EAF1DD" w:themeFill="accent3" w:themeFillTint="33"/>
          </w:tcPr>
          <w:p w:rsidR="00A35B66" w:rsidRPr="00E30051" w:rsidRDefault="00A35B66">
            <w:pPr>
              <w:cnfStyle w:val="100000000000" w:firstRow="1" w:lastRow="0" w:firstColumn="0" w:lastColumn="0" w:oddVBand="0" w:evenVBand="0" w:oddHBand="0" w:evenHBand="0" w:firstRowFirstColumn="0" w:firstRowLastColumn="0" w:lastRowFirstColumn="0" w:lastRowLastColumn="0"/>
              <w:rPr>
                <w:b w:val="0"/>
                <w:sz w:val="20"/>
                <w:szCs w:val="20"/>
              </w:rPr>
            </w:pPr>
            <w:r w:rsidRPr="00E30051">
              <w:rPr>
                <w:b w:val="0"/>
                <w:sz w:val="20"/>
                <w:szCs w:val="20"/>
              </w:rPr>
              <w:t>HS</w:t>
            </w:r>
          </w:p>
        </w:tc>
        <w:tc>
          <w:tcPr>
            <w:tcW w:w="810" w:type="dxa"/>
            <w:shd w:val="clear" w:color="auto" w:fill="EAF1DD" w:themeFill="accent3" w:themeFillTint="33"/>
          </w:tcPr>
          <w:p w:rsidR="00A35B66" w:rsidRPr="00E30051" w:rsidRDefault="00A35B66">
            <w:pPr>
              <w:cnfStyle w:val="100000000000" w:firstRow="1" w:lastRow="0" w:firstColumn="0" w:lastColumn="0" w:oddVBand="0" w:evenVBand="0" w:oddHBand="0" w:evenHBand="0" w:firstRowFirstColumn="0" w:firstRowLastColumn="0" w:lastRowFirstColumn="0" w:lastRowLastColumn="0"/>
              <w:rPr>
                <w:b w:val="0"/>
                <w:sz w:val="20"/>
                <w:szCs w:val="20"/>
              </w:rPr>
            </w:pPr>
            <w:r w:rsidRPr="00E30051">
              <w:rPr>
                <w:b w:val="0"/>
                <w:sz w:val="20"/>
                <w:szCs w:val="20"/>
              </w:rPr>
              <w:t>HS</w:t>
            </w:r>
          </w:p>
        </w:tc>
        <w:tc>
          <w:tcPr>
            <w:tcW w:w="2160" w:type="dxa"/>
            <w:shd w:val="clear" w:color="auto" w:fill="EAF1DD" w:themeFill="accent3" w:themeFillTint="33"/>
          </w:tcPr>
          <w:p w:rsidR="00A35B66" w:rsidRPr="00E30051" w:rsidRDefault="00A35B66">
            <w:pPr>
              <w:cnfStyle w:val="100000000000" w:firstRow="1" w:lastRow="0" w:firstColumn="0" w:lastColumn="0" w:oddVBand="0" w:evenVBand="0" w:oddHBand="0" w:evenHBand="0" w:firstRowFirstColumn="0" w:firstRowLastColumn="0" w:lastRowFirstColumn="0" w:lastRowLastColumn="0"/>
              <w:rPr>
                <w:b w:val="0"/>
                <w:sz w:val="20"/>
                <w:szCs w:val="20"/>
              </w:rPr>
            </w:pPr>
            <w:r w:rsidRPr="00E30051">
              <w:rPr>
                <w:b w:val="0"/>
                <w:sz w:val="20"/>
                <w:szCs w:val="20"/>
              </w:rPr>
              <w:t>HS, approved for articulation to IHE</w:t>
            </w:r>
            <w:r w:rsidR="004D42A3" w:rsidRPr="00E30051">
              <w:rPr>
                <w:b w:val="0"/>
                <w:sz w:val="20"/>
                <w:szCs w:val="20"/>
              </w:rPr>
              <w:t>. Identified as CTE classes. Academics are integrated with technical skills.</w:t>
            </w:r>
          </w:p>
        </w:tc>
        <w:tc>
          <w:tcPr>
            <w:tcW w:w="1350" w:type="dxa"/>
            <w:shd w:val="clear" w:color="auto" w:fill="EAF1DD" w:themeFill="accent3" w:themeFillTint="33"/>
          </w:tcPr>
          <w:p w:rsidR="00A35B66" w:rsidRPr="00E30051" w:rsidRDefault="00A35B66">
            <w:pPr>
              <w:cnfStyle w:val="100000000000" w:firstRow="1" w:lastRow="0" w:firstColumn="0" w:lastColumn="0" w:oddVBand="0" w:evenVBand="0" w:oddHBand="0" w:evenHBand="0" w:firstRowFirstColumn="0" w:firstRowLastColumn="0" w:lastRowFirstColumn="0" w:lastRowLastColumn="0"/>
              <w:rPr>
                <w:b w:val="0"/>
                <w:sz w:val="20"/>
                <w:szCs w:val="20"/>
              </w:rPr>
            </w:pPr>
            <w:r w:rsidRPr="00E30051">
              <w:rPr>
                <w:b w:val="0"/>
                <w:sz w:val="20"/>
                <w:szCs w:val="20"/>
              </w:rPr>
              <w:t>Course completion</w:t>
            </w:r>
            <w:r w:rsidR="00DF67D1" w:rsidRPr="00E30051">
              <w:rPr>
                <w:b w:val="0"/>
                <w:sz w:val="20"/>
                <w:szCs w:val="20"/>
              </w:rPr>
              <w:t>.</w:t>
            </w:r>
          </w:p>
        </w:tc>
        <w:tc>
          <w:tcPr>
            <w:tcW w:w="4410" w:type="dxa"/>
            <w:shd w:val="clear" w:color="auto" w:fill="EAF1DD" w:themeFill="accent3" w:themeFillTint="33"/>
          </w:tcPr>
          <w:p w:rsidR="00DF67D1" w:rsidRPr="00E30051" w:rsidRDefault="00DF67D1" w:rsidP="00DF67D1">
            <w:pPr>
              <w:cnfStyle w:val="100000000000" w:firstRow="1" w:lastRow="0" w:firstColumn="0" w:lastColumn="0" w:oddVBand="0" w:evenVBand="0" w:oddHBand="0" w:evenHBand="0" w:firstRowFirstColumn="0" w:firstRowLastColumn="0" w:lastRowFirstColumn="0" w:lastRowLastColumn="0"/>
              <w:rPr>
                <w:b w:val="0"/>
                <w:sz w:val="20"/>
                <w:szCs w:val="20"/>
              </w:rPr>
            </w:pPr>
            <w:r w:rsidRPr="00E30051">
              <w:rPr>
                <w:b w:val="0"/>
                <w:sz w:val="20"/>
                <w:szCs w:val="20"/>
              </w:rPr>
              <w:t xml:space="preserve">Students must earn a “B” or better in course, register for TP credit in statewide enrollment and reporting system (SERS) and complete the local </w:t>
            </w:r>
            <w:r w:rsidR="008A1DA0" w:rsidRPr="00E30051">
              <w:rPr>
                <w:b w:val="0"/>
                <w:sz w:val="20"/>
                <w:szCs w:val="20"/>
              </w:rPr>
              <w:t xml:space="preserve">college </w:t>
            </w:r>
            <w:r w:rsidRPr="00E30051">
              <w:rPr>
                <w:b w:val="0"/>
                <w:sz w:val="20"/>
                <w:szCs w:val="20"/>
              </w:rPr>
              <w:t>administrative process.</w:t>
            </w:r>
          </w:p>
          <w:p w:rsidR="00E82168" w:rsidRPr="00E30051" w:rsidRDefault="00E82168" w:rsidP="00DF67D1">
            <w:pPr>
              <w:cnfStyle w:val="100000000000" w:firstRow="1" w:lastRow="0" w:firstColumn="0" w:lastColumn="0" w:oddVBand="0" w:evenVBand="0" w:oddHBand="0" w:evenHBand="0" w:firstRowFirstColumn="0" w:firstRowLastColumn="0" w:lastRowFirstColumn="0" w:lastRowLastColumn="0"/>
              <w:rPr>
                <w:b w:val="0"/>
                <w:sz w:val="20"/>
                <w:szCs w:val="20"/>
              </w:rPr>
            </w:pPr>
          </w:p>
          <w:p w:rsidR="00A35B66" w:rsidRPr="00E30051" w:rsidRDefault="00E82168" w:rsidP="00E82168">
            <w:pPr>
              <w:cnfStyle w:val="100000000000" w:firstRow="1" w:lastRow="0" w:firstColumn="0" w:lastColumn="0" w:oddVBand="0" w:evenVBand="0" w:oddHBand="0" w:evenHBand="0" w:firstRowFirstColumn="0" w:firstRowLastColumn="0" w:lastRowFirstColumn="0" w:lastRowLastColumn="0"/>
              <w:rPr>
                <w:b w:val="0"/>
                <w:sz w:val="20"/>
                <w:szCs w:val="20"/>
              </w:rPr>
            </w:pPr>
            <w:r w:rsidRPr="00E30051">
              <w:rPr>
                <w:b w:val="0"/>
                <w:sz w:val="20"/>
                <w:szCs w:val="20"/>
              </w:rPr>
              <w:t>Award is b</w:t>
            </w:r>
            <w:r w:rsidR="00A35B66" w:rsidRPr="00E30051">
              <w:rPr>
                <w:b w:val="0"/>
                <w:sz w:val="20"/>
                <w:szCs w:val="20"/>
              </w:rPr>
              <w:t>ased upon articulation agreements between each HS and IHE.</w:t>
            </w:r>
          </w:p>
        </w:tc>
        <w:tc>
          <w:tcPr>
            <w:tcW w:w="2790" w:type="dxa"/>
            <w:shd w:val="clear" w:color="auto" w:fill="EAF1DD" w:themeFill="accent3" w:themeFillTint="33"/>
          </w:tcPr>
          <w:p w:rsidR="00A35B66" w:rsidRPr="00E30051" w:rsidRDefault="00A35B66">
            <w:pPr>
              <w:cnfStyle w:val="100000000000" w:firstRow="1" w:lastRow="0" w:firstColumn="0" w:lastColumn="0" w:oddVBand="0" w:evenVBand="0" w:oddHBand="0" w:evenHBand="0" w:firstRowFirstColumn="0" w:firstRowLastColumn="0" w:lastRowFirstColumn="0" w:lastRowLastColumn="0"/>
              <w:rPr>
                <w:b w:val="0"/>
                <w:sz w:val="20"/>
                <w:szCs w:val="20"/>
              </w:rPr>
            </w:pPr>
            <w:r w:rsidRPr="00E30051">
              <w:rPr>
                <w:b w:val="0"/>
                <w:sz w:val="20"/>
                <w:szCs w:val="20"/>
              </w:rPr>
              <w:t>Grades 9-12.</w:t>
            </w:r>
          </w:p>
          <w:p w:rsidR="00A35B66" w:rsidRPr="00E30051" w:rsidRDefault="009310B7">
            <w:pPr>
              <w:cnfStyle w:val="100000000000" w:firstRow="1" w:lastRow="0" w:firstColumn="0" w:lastColumn="0" w:oddVBand="0" w:evenVBand="0" w:oddHBand="0" w:evenHBand="0" w:firstRowFirstColumn="0" w:firstRowLastColumn="0" w:lastRowFirstColumn="0" w:lastRowLastColumn="0"/>
              <w:rPr>
                <w:b w:val="0"/>
                <w:sz w:val="20"/>
                <w:szCs w:val="20"/>
              </w:rPr>
            </w:pPr>
            <w:r w:rsidRPr="00E30051">
              <w:rPr>
                <w:b w:val="0"/>
                <w:sz w:val="20"/>
                <w:szCs w:val="20"/>
              </w:rPr>
              <w:t>Placement determined locally.</w:t>
            </w:r>
          </w:p>
        </w:tc>
        <w:tc>
          <w:tcPr>
            <w:tcW w:w="2340" w:type="dxa"/>
            <w:shd w:val="clear" w:color="auto" w:fill="EAF1DD" w:themeFill="accent3" w:themeFillTint="33"/>
          </w:tcPr>
          <w:p w:rsidR="00A35B66" w:rsidRPr="00E30051" w:rsidRDefault="00A35B66" w:rsidP="008A1DA0">
            <w:pPr>
              <w:cnfStyle w:val="100000000000" w:firstRow="1" w:lastRow="0" w:firstColumn="0" w:lastColumn="0" w:oddVBand="0" w:evenVBand="0" w:oddHBand="0" w:evenHBand="0" w:firstRowFirstColumn="0" w:firstRowLastColumn="0" w:lastRowFirstColumn="0" w:lastRowLastColumn="0"/>
              <w:rPr>
                <w:b w:val="0"/>
                <w:sz w:val="20"/>
                <w:szCs w:val="20"/>
              </w:rPr>
            </w:pPr>
            <w:r w:rsidRPr="00E30051">
              <w:rPr>
                <w:b w:val="0"/>
                <w:sz w:val="20"/>
                <w:szCs w:val="20"/>
              </w:rPr>
              <w:t>No cost</w:t>
            </w:r>
            <w:r w:rsidR="00DF67D1" w:rsidRPr="00E30051">
              <w:rPr>
                <w:b w:val="0"/>
                <w:sz w:val="20"/>
                <w:szCs w:val="20"/>
              </w:rPr>
              <w:t xml:space="preserve">, or minimal </w:t>
            </w:r>
            <w:r w:rsidR="008A1DA0" w:rsidRPr="00E30051">
              <w:rPr>
                <w:b w:val="0"/>
                <w:sz w:val="20"/>
                <w:szCs w:val="20"/>
              </w:rPr>
              <w:t>registration cost (dependent on local consortium) or transcription</w:t>
            </w:r>
            <w:r w:rsidR="00DF67D1" w:rsidRPr="00E30051">
              <w:rPr>
                <w:b w:val="0"/>
                <w:sz w:val="20"/>
                <w:szCs w:val="20"/>
              </w:rPr>
              <w:t xml:space="preserve"> cost</w:t>
            </w:r>
            <w:r w:rsidR="008A1DA0" w:rsidRPr="00E30051">
              <w:rPr>
                <w:b w:val="0"/>
                <w:sz w:val="20"/>
                <w:szCs w:val="20"/>
              </w:rPr>
              <w:t xml:space="preserve"> (paid to IHE)</w:t>
            </w:r>
            <w:r w:rsidR="00DF67D1" w:rsidRPr="00E30051">
              <w:rPr>
                <w:b w:val="0"/>
                <w:sz w:val="20"/>
                <w:szCs w:val="20"/>
              </w:rPr>
              <w:t>,</w:t>
            </w:r>
            <w:r w:rsidRPr="00E30051">
              <w:rPr>
                <w:b w:val="0"/>
                <w:sz w:val="20"/>
                <w:szCs w:val="20"/>
              </w:rPr>
              <w:t xml:space="preserve"> to students</w:t>
            </w:r>
            <w:r w:rsidR="00DF67D1" w:rsidRPr="00E30051">
              <w:rPr>
                <w:b w:val="0"/>
                <w:sz w:val="20"/>
                <w:szCs w:val="20"/>
              </w:rPr>
              <w:t xml:space="preserve"> </w:t>
            </w:r>
          </w:p>
        </w:tc>
        <w:tc>
          <w:tcPr>
            <w:tcW w:w="1777" w:type="dxa"/>
            <w:shd w:val="clear" w:color="auto" w:fill="EAF1DD" w:themeFill="accent3" w:themeFillTint="33"/>
          </w:tcPr>
          <w:p w:rsidR="00A35B66" w:rsidRPr="00E30051" w:rsidRDefault="00DF67D1">
            <w:pPr>
              <w:cnfStyle w:val="100000000000" w:firstRow="1" w:lastRow="0" w:firstColumn="0" w:lastColumn="0" w:oddVBand="0" w:evenVBand="0" w:oddHBand="0" w:evenHBand="0" w:firstRowFirstColumn="0" w:firstRowLastColumn="0" w:lastRowFirstColumn="0" w:lastRowLastColumn="0"/>
              <w:rPr>
                <w:b w:val="0"/>
                <w:sz w:val="20"/>
                <w:szCs w:val="20"/>
              </w:rPr>
            </w:pPr>
            <w:r w:rsidRPr="00E30051">
              <w:rPr>
                <w:b w:val="0"/>
                <w:sz w:val="20"/>
                <w:szCs w:val="20"/>
              </w:rPr>
              <w:t>Fee to participate in consortium.</w:t>
            </w:r>
          </w:p>
        </w:tc>
        <w:tc>
          <w:tcPr>
            <w:tcW w:w="4219" w:type="dxa"/>
            <w:shd w:val="clear" w:color="auto" w:fill="EAF1DD" w:themeFill="accent3" w:themeFillTint="33"/>
          </w:tcPr>
          <w:p w:rsidR="00A35B66" w:rsidRPr="00E30051" w:rsidRDefault="00DF67D1" w:rsidP="00DF67D1">
            <w:pPr>
              <w:cnfStyle w:val="100000000000" w:firstRow="1" w:lastRow="0" w:firstColumn="0" w:lastColumn="0" w:oddVBand="0" w:evenVBand="0" w:oddHBand="0" w:evenHBand="0" w:firstRowFirstColumn="0" w:firstRowLastColumn="0" w:lastRowFirstColumn="0" w:lastRowLastColumn="0"/>
              <w:rPr>
                <w:b w:val="0"/>
                <w:sz w:val="20"/>
                <w:szCs w:val="20"/>
              </w:rPr>
            </w:pPr>
            <w:r w:rsidRPr="00E30051">
              <w:rPr>
                <w:b w:val="0"/>
                <w:sz w:val="20"/>
                <w:szCs w:val="20"/>
              </w:rPr>
              <w:t xml:space="preserve"> On July 1, 2011, the federal Carl D. Perkins Title II funds (Tech Prep) were eliminated. Washington State’s portion of Tech Prep funding, $2,036,850, was lost by this action.</w:t>
            </w:r>
          </w:p>
          <w:p w:rsidR="00DF67D1" w:rsidRPr="00E30051" w:rsidRDefault="00DF67D1" w:rsidP="00DF67D1">
            <w:pPr>
              <w:cnfStyle w:val="100000000000" w:firstRow="1" w:lastRow="0" w:firstColumn="0" w:lastColumn="0" w:oddVBand="0" w:evenVBand="0" w:oddHBand="0" w:evenHBand="0" w:firstRowFirstColumn="0" w:firstRowLastColumn="0" w:lastRowFirstColumn="0" w:lastRowLastColumn="0"/>
              <w:rPr>
                <w:b w:val="0"/>
                <w:sz w:val="20"/>
                <w:szCs w:val="20"/>
              </w:rPr>
            </w:pPr>
            <w:r w:rsidRPr="00E30051">
              <w:rPr>
                <w:b w:val="0"/>
                <w:sz w:val="20"/>
                <w:szCs w:val="20"/>
              </w:rPr>
              <w:t>Many students enroll in Tech Prep to fulfill a HS CTE requirement, without intending to apply for college credit.</w:t>
            </w:r>
          </w:p>
        </w:tc>
      </w:tr>
    </w:tbl>
    <w:p w:rsidR="00804C4A" w:rsidRPr="001E4541" w:rsidRDefault="00804C4A" w:rsidP="00281F75">
      <w:pPr>
        <w:spacing w:after="0"/>
        <w:rPr>
          <w:color w:val="5F497A" w:themeColor="accent4" w:themeShade="BF"/>
          <w:sz w:val="20"/>
          <w:szCs w:val="20"/>
        </w:rPr>
      </w:pPr>
      <w:r w:rsidRPr="001E4541">
        <w:rPr>
          <w:b/>
          <w:color w:val="5F497A" w:themeColor="accent4" w:themeShade="BF"/>
          <w:sz w:val="20"/>
          <w:szCs w:val="20"/>
        </w:rPr>
        <w:t>Credit by Course Completion</w:t>
      </w:r>
    </w:p>
    <w:tbl>
      <w:tblPr>
        <w:tblStyle w:val="ListTable2-Accent4"/>
        <w:tblW w:w="23294" w:type="dxa"/>
        <w:shd w:val="clear" w:color="auto" w:fill="E5DFEC" w:themeFill="accent4" w:themeFillTint="33"/>
        <w:tblLayout w:type="fixed"/>
        <w:tblLook w:val="04A0" w:firstRow="1" w:lastRow="0" w:firstColumn="1" w:lastColumn="0" w:noHBand="0" w:noVBand="1"/>
      </w:tblPr>
      <w:tblGrid>
        <w:gridCol w:w="1707"/>
        <w:gridCol w:w="1097"/>
        <w:gridCol w:w="634"/>
        <w:gridCol w:w="810"/>
        <w:gridCol w:w="2160"/>
        <w:gridCol w:w="1350"/>
        <w:gridCol w:w="4410"/>
        <w:gridCol w:w="2790"/>
        <w:gridCol w:w="2340"/>
        <w:gridCol w:w="1777"/>
        <w:gridCol w:w="4219"/>
      </w:tblGrid>
      <w:tr w:rsidR="00DF0349" w:rsidRPr="00DF0349" w:rsidTr="00DF03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7" w:type="dxa"/>
            <w:shd w:val="clear" w:color="auto" w:fill="E5DFEC" w:themeFill="accent4" w:themeFillTint="33"/>
          </w:tcPr>
          <w:p w:rsidR="00A35B66" w:rsidRPr="00E30051" w:rsidRDefault="00A35B66">
            <w:pPr>
              <w:rPr>
                <w:sz w:val="20"/>
                <w:szCs w:val="20"/>
              </w:rPr>
            </w:pPr>
            <w:r w:rsidRPr="00E30051">
              <w:rPr>
                <w:sz w:val="20"/>
                <w:szCs w:val="20"/>
              </w:rPr>
              <w:t>Running Start (RS)</w:t>
            </w:r>
          </w:p>
          <w:p w:rsidR="00974C8A" w:rsidRDefault="00974C8A">
            <w:pPr>
              <w:rPr>
                <w:b w:val="0"/>
                <w:sz w:val="20"/>
                <w:szCs w:val="20"/>
              </w:rPr>
            </w:pPr>
            <w:r w:rsidRPr="00DF0349">
              <w:rPr>
                <w:b w:val="0"/>
                <w:sz w:val="20"/>
                <w:szCs w:val="20"/>
              </w:rPr>
              <w:t>All public HS are eligible</w:t>
            </w:r>
          </w:p>
          <w:p w:rsidR="008D75C8" w:rsidRPr="00DF0349" w:rsidRDefault="008D75C8">
            <w:pPr>
              <w:rPr>
                <w:b w:val="0"/>
                <w:sz w:val="20"/>
                <w:szCs w:val="20"/>
              </w:rPr>
            </w:pPr>
            <w:r>
              <w:rPr>
                <w:b w:val="0"/>
                <w:sz w:val="20"/>
                <w:szCs w:val="20"/>
              </w:rPr>
              <w:t>440 HS (2011-12)</w:t>
            </w:r>
          </w:p>
        </w:tc>
        <w:tc>
          <w:tcPr>
            <w:tcW w:w="1097" w:type="dxa"/>
            <w:shd w:val="clear" w:color="auto" w:fill="E5DFEC" w:themeFill="accent4" w:themeFillTint="33"/>
          </w:tcPr>
          <w:p w:rsidR="00A35B66" w:rsidRDefault="00C92E62" w:rsidP="009127C8">
            <w:pPr>
              <w:cnfStyle w:val="100000000000" w:firstRow="1" w:lastRow="0" w:firstColumn="0" w:lastColumn="0" w:oddVBand="0" w:evenVBand="0" w:oddHBand="0" w:evenHBand="0" w:firstRowFirstColumn="0" w:firstRowLastColumn="0" w:lastRowFirstColumn="0" w:lastRowLastColumn="0"/>
              <w:rPr>
                <w:b w:val="0"/>
                <w:sz w:val="20"/>
                <w:szCs w:val="20"/>
              </w:rPr>
            </w:pPr>
            <w:r w:rsidRPr="00DF0349">
              <w:rPr>
                <w:b w:val="0"/>
                <w:sz w:val="20"/>
                <w:szCs w:val="20"/>
              </w:rPr>
              <w:t>20,292</w:t>
            </w:r>
          </w:p>
          <w:p w:rsidR="0058583B" w:rsidRDefault="0058583B" w:rsidP="009127C8">
            <w:pPr>
              <w:cnfStyle w:val="100000000000" w:firstRow="1" w:lastRow="0" w:firstColumn="0" w:lastColumn="0" w:oddVBand="0" w:evenVBand="0" w:oddHBand="0" w:evenHBand="0" w:firstRowFirstColumn="0" w:firstRowLastColumn="0" w:lastRowFirstColumn="0" w:lastRowLastColumn="0"/>
              <w:rPr>
                <w:b w:val="0"/>
                <w:sz w:val="20"/>
                <w:szCs w:val="20"/>
              </w:rPr>
            </w:pPr>
          </w:p>
          <w:p w:rsidR="0058583B" w:rsidRPr="00DF0349" w:rsidRDefault="0058583B" w:rsidP="009127C8">
            <w:pPr>
              <w:cnfStyle w:val="100000000000" w:firstRow="1" w:lastRow="0" w:firstColumn="0" w:lastColumn="0" w:oddVBand="0" w:evenVBand="0" w:oddHBand="0" w:evenHBand="0" w:firstRowFirstColumn="0" w:firstRowLastColumn="0" w:lastRowFirstColumn="0" w:lastRowLastColumn="0"/>
              <w:rPr>
                <w:b w:val="0"/>
                <w:sz w:val="20"/>
                <w:szCs w:val="20"/>
              </w:rPr>
            </w:pPr>
            <w:r>
              <w:rPr>
                <w:b w:val="0"/>
                <w:sz w:val="20"/>
                <w:szCs w:val="20"/>
              </w:rPr>
              <w:t>137,721</w:t>
            </w:r>
          </w:p>
          <w:p w:rsidR="00D41539" w:rsidRPr="00DF0349" w:rsidRDefault="00D41539" w:rsidP="009127C8">
            <w:pPr>
              <w:cnfStyle w:val="100000000000" w:firstRow="1" w:lastRow="0" w:firstColumn="0" w:lastColumn="0" w:oddVBand="0" w:evenVBand="0" w:oddHBand="0" w:evenHBand="0" w:firstRowFirstColumn="0" w:firstRowLastColumn="0" w:lastRowFirstColumn="0" w:lastRowLastColumn="0"/>
              <w:rPr>
                <w:b w:val="0"/>
                <w:sz w:val="20"/>
                <w:szCs w:val="20"/>
              </w:rPr>
            </w:pPr>
          </w:p>
          <w:p w:rsidR="00D41539" w:rsidRPr="00DF0349" w:rsidRDefault="00D41539" w:rsidP="009127C8">
            <w:pPr>
              <w:cnfStyle w:val="100000000000" w:firstRow="1" w:lastRow="0" w:firstColumn="0" w:lastColumn="0" w:oddVBand="0" w:evenVBand="0" w:oddHBand="0" w:evenHBand="0" w:firstRowFirstColumn="0" w:firstRowLastColumn="0" w:lastRowFirstColumn="0" w:lastRowLastColumn="0"/>
              <w:rPr>
                <w:b w:val="0"/>
                <w:sz w:val="20"/>
                <w:szCs w:val="20"/>
              </w:rPr>
            </w:pPr>
          </w:p>
        </w:tc>
        <w:tc>
          <w:tcPr>
            <w:tcW w:w="634" w:type="dxa"/>
            <w:shd w:val="clear" w:color="auto" w:fill="E5DFEC" w:themeFill="accent4" w:themeFillTint="33"/>
          </w:tcPr>
          <w:p w:rsidR="00A35B66" w:rsidRPr="00DF0349" w:rsidRDefault="00A35B66" w:rsidP="009127C8">
            <w:pPr>
              <w:cnfStyle w:val="100000000000" w:firstRow="1" w:lastRow="0" w:firstColumn="0" w:lastColumn="0" w:oddVBand="0" w:evenVBand="0" w:oddHBand="0" w:evenHBand="0" w:firstRowFirstColumn="0" w:firstRowLastColumn="0" w:lastRowFirstColumn="0" w:lastRowLastColumn="0"/>
              <w:rPr>
                <w:b w:val="0"/>
                <w:sz w:val="20"/>
                <w:szCs w:val="20"/>
              </w:rPr>
            </w:pPr>
            <w:r w:rsidRPr="00DF0349">
              <w:rPr>
                <w:b w:val="0"/>
                <w:sz w:val="20"/>
                <w:szCs w:val="20"/>
              </w:rPr>
              <w:t>IHE</w:t>
            </w:r>
            <w:r w:rsidRPr="00DF0349">
              <w:rPr>
                <w:rStyle w:val="FootnoteReference"/>
                <w:b w:val="0"/>
                <w:sz w:val="20"/>
                <w:szCs w:val="20"/>
              </w:rPr>
              <w:footnoteReference w:id="4"/>
            </w:r>
          </w:p>
        </w:tc>
        <w:tc>
          <w:tcPr>
            <w:tcW w:w="810" w:type="dxa"/>
            <w:shd w:val="clear" w:color="auto" w:fill="E5DFEC" w:themeFill="accent4" w:themeFillTint="33"/>
          </w:tcPr>
          <w:p w:rsidR="00A35B66" w:rsidRPr="00DF0349" w:rsidRDefault="00A35B66">
            <w:pPr>
              <w:cnfStyle w:val="100000000000" w:firstRow="1" w:lastRow="0" w:firstColumn="0" w:lastColumn="0" w:oddVBand="0" w:evenVBand="0" w:oddHBand="0" w:evenHBand="0" w:firstRowFirstColumn="0" w:firstRowLastColumn="0" w:lastRowFirstColumn="0" w:lastRowLastColumn="0"/>
              <w:rPr>
                <w:b w:val="0"/>
                <w:sz w:val="20"/>
                <w:szCs w:val="20"/>
              </w:rPr>
            </w:pPr>
            <w:r w:rsidRPr="00DF0349">
              <w:rPr>
                <w:b w:val="0"/>
                <w:sz w:val="20"/>
                <w:szCs w:val="20"/>
              </w:rPr>
              <w:t>IHE</w:t>
            </w:r>
            <w:r w:rsidR="009310B7" w:rsidRPr="00DF0349">
              <w:rPr>
                <w:b w:val="0"/>
                <w:sz w:val="20"/>
                <w:szCs w:val="20"/>
              </w:rPr>
              <w:t xml:space="preserve"> faculty</w:t>
            </w:r>
          </w:p>
        </w:tc>
        <w:tc>
          <w:tcPr>
            <w:tcW w:w="2160" w:type="dxa"/>
            <w:shd w:val="clear" w:color="auto" w:fill="E5DFEC" w:themeFill="accent4" w:themeFillTint="33"/>
          </w:tcPr>
          <w:p w:rsidR="00A35B66" w:rsidRPr="00DF0349" w:rsidRDefault="00A35B66" w:rsidP="00734F30">
            <w:pPr>
              <w:cnfStyle w:val="100000000000" w:firstRow="1" w:lastRow="0" w:firstColumn="0" w:lastColumn="0" w:oddVBand="0" w:evenVBand="0" w:oddHBand="0" w:evenHBand="0" w:firstRowFirstColumn="0" w:firstRowLastColumn="0" w:lastRowFirstColumn="0" w:lastRowLastColumn="0"/>
              <w:rPr>
                <w:b w:val="0"/>
                <w:sz w:val="20"/>
                <w:szCs w:val="20"/>
              </w:rPr>
            </w:pPr>
            <w:r w:rsidRPr="00DF0349">
              <w:rPr>
                <w:b w:val="0"/>
                <w:sz w:val="20"/>
                <w:szCs w:val="20"/>
              </w:rPr>
              <w:t>IHE, regular course in catalog.</w:t>
            </w:r>
            <w:r w:rsidR="00734F30" w:rsidRPr="00DF0349">
              <w:rPr>
                <w:b w:val="0"/>
                <w:sz w:val="20"/>
                <w:szCs w:val="20"/>
              </w:rPr>
              <w:t xml:space="preserve"> Class usually includes non-RS, adult college students</w:t>
            </w:r>
          </w:p>
        </w:tc>
        <w:tc>
          <w:tcPr>
            <w:tcW w:w="1350" w:type="dxa"/>
            <w:shd w:val="clear" w:color="auto" w:fill="E5DFEC" w:themeFill="accent4" w:themeFillTint="33"/>
          </w:tcPr>
          <w:p w:rsidR="00A35B66" w:rsidRPr="00DF0349" w:rsidRDefault="00A35B66">
            <w:pPr>
              <w:cnfStyle w:val="100000000000" w:firstRow="1" w:lastRow="0" w:firstColumn="0" w:lastColumn="0" w:oddVBand="0" w:evenVBand="0" w:oddHBand="0" w:evenHBand="0" w:firstRowFirstColumn="0" w:firstRowLastColumn="0" w:lastRowFirstColumn="0" w:lastRowLastColumn="0"/>
              <w:rPr>
                <w:b w:val="0"/>
                <w:sz w:val="20"/>
                <w:szCs w:val="20"/>
              </w:rPr>
            </w:pPr>
            <w:r w:rsidRPr="00DF0349">
              <w:rPr>
                <w:b w:val="0"/>
                <w:sz w:val="20"/>
                <w:szCs w:val="20"/>
              </w:rPr>
              <w:t>Course completion</w:t>
            </w:r>
            <w:r w:rsidR="00E82168" w:rsidRPr="00DF0349">
              <w:rPr>
                <w:b w:val="0"/>
                <w:sz w:val="20"/>
                <w:szCs w:val="20"/>
              </w:rPr>
              <w:t>.</w:t>
            </w:r>
          </w:p>
        </w:tc>
        <w:tc>
          <w:tcPr>
            <w:tcW w:w="4410" w:type="dxa"/>
            <w:shd w:val="clear" w:color="auto" w:fill="E5DFEC" w:themeFill="accent4" w:themeFillTint="33"/>
          </w:tcPr>
          <w:p w:rsidR="00A35B66" w:rsidRPr="00DF0349" w:rsidRDefault="00A35B66">
            <w:pPr>
              <w:cnfStyle w:val="100000000000" w:firstRow="1" w:lastRow="0" w:firstColumn="0" w:lastColumn="0" w:oddVBand="0" w:evenVBand="0" w:oddHBand="0" w:evenHBand="0" w:firstRowFirstColumn="0" w:firstRowLastColumn="0" w:lastRowFirstColumn="0" w:lastRowLastColumn="0"/>
              <w:rPr>
                <w:b w:val="0"/>
                <w:sz w:val="20"/>
                <w:szCs w:val="20"/>
              </w:rPr>
            </w:pPr>
            <w:r w:rsidRPr="00DF0349">
              <w:rPr>
                <w:b w:val="0"/>
                <w:sz w:val="20"/>
                <w:szCs w:val="20"/>
              </w:rPr>
              <w:t>Upon completion of course.</w:t>
            </w:r>
          </w:p>
          <w:p w:rsidR="00A35B66" w:rsidRDefault="00A35B66">
            <w:pPr>
              <w:cnfStyle w:val="100000000000" w:firstRow="1" w:lastRow="0" w:firstColumn="0" w:lastColumn="0" w:oddVBand="0" w:evenVBand="0" w:oddHBand="0" w:evenHBand="0" w:firstRowFirstColumn="0" w:firstRowLastColumn="0" w:lastRowFirstColumn="0" w:lastRowLastColumn="0"/>
              <w:rPr>
                <w:b w:val="0"/>
                <w:sz w:val="20"/>
                <w:szCs w:val="20"/>
              </w:rPr>
            </w:pPr>
            <w:r w:rsidRPr="00DF0349">
              <w:rPr>
                <w:b w:val="0"/>
                <w:sz w:val="20"/>
                <w:szCs w:val="20"/>
              </w:rPr>
              <w:t>Same as other regular/non-RS students completing course.</w:t>
            </w:r>
          </w:p>
          <w:p w:rsidR="00DF0349" w:rsidRDefault="00DF0349">
            <w:pPr>
              <w:cnfStyle w:val="100000000000" w:firstRow="1" w:lastRow="0" w:firstColumn="0" w:lastColumn="0" w:oddVBand="0" w:evenVBand="0" w:oddHBand="0" w:evenHBand="0" w:firstRowFirstColumn="0" w:firstRowLastColumn="0" w:lastRowFirstColumn="0" w:lastRowLastColumn="0"/>
              <w:rPr>
                <w:b w:val="0"/>
                <w:sz w:val="20"/>
                <w:szCs w:val="20"/>
              </w:rPr>
            </w:pPr>
          </w:p>
          <w:p w:rsidR="00DF0349" w:rsidRPr="00DF0349" w:rsidRDefault="00DF0349" w:rsidP="00DF0349">
            <w:pPr>
              <w:cnfStyle w:val="100000000000" w:firstRow="1" w:lastRow="0" w:firstColumn="0" w:lastColumn="0" w:oddVBand="0" w:evenVBand="0" w:oddHBand="0" w:evenHBand="0" w:firstRowFirstColumn="0" w:firstRowLastColumn="0" w:lastRowFirstColumn="0" w:lastRowLastColumn="0"/>
              <w:rPr>
                <w:b w:val="0"/>
                <w:sz w:val="20"/>
                <w:szCs w:val="20"/>
              </w:rPr>
            </w:pPr>
            <w:r w:rsidRPr="00DF0349">
              <w:rPr>
                <w:b w:val="0"/>
                <w:sz w:val="20"/>
                <w:szCs w:val="20"/>
              </w:rPr>
              <w:t xml:space="preserve">1,900  students earned AA degrees </w:t>
            </w:r>
          </w:p>
        </w:tc>
        <w:tc>
          <w:tcPr>
            <w:tcW w:w="2790" w:type="dxa"/>
            <w:shd w:val="clear" w:color="auto" w:fill="E5DFEC" w:themeFill="accent4" w:themeFillTint="33"/>
          </w:tcPr>
          <w:p w:rsidR="00A35B66" w:rsidRPr="00DF0349" w:rsidRDefault="00A35B66">
            <w:pPr>
              <w:cnfStyle w:val="100000000000" w:firstRow="1" w:lastRow="0" w:firstColumn="0" w:lastColumn="0" w:oddVBand="0" w:evenVBand="0" w:oddHBand="0" w:evenHBand="0" w:firstRowFirstColumn="0" w:firstRowLastColumn="0" w:lastRowFirstColumn="0" w:lastRowLastColumn="0"/>
              <w:rPr>
                <w:b w:val="0"/>
                <w:sz w:val="20"/>
                <w:szCs w:val="20"/>
              </w:rPr>
            </w:pPr>
            <w:r w:rsidRPr="00DF0349">
              <w:rPr>
                <w:b w:val="0"/>
                <w:sz w:val="20"/>
                <w:szCs w:val="20"/>
              </w:rPr>
              <w:t xml:space="preserve">Grades 11-12. </w:t>
            </w:r>
          </w:p>
          <w:p w:rsidR="00A35B66" w:rsidRPr="00DF0349" w:rsidRDefault="00A35B66" w:rsidP="009127C8">
            <w:pPr>
              <w:cnfStyle w:val="100000000000" w:firstRow="1" w:lastRow="0" w:firstColumn="0" w:lastColumn="0" w:oddVBand="0" w:evenVBand="0" w:oddHBand="0" w:evenHBand="0" w:firstRowFirstColumn="0" w:firstRowLastColumn="0" w:lastRowFirstColumn="0" w:lastRowLastColumn="0"/>
              <w:rPr>
                <w:b w:val="0"/>
                <w:sz w:val="20"/>
                <w:szCs w:val="20"/>
              </w:rPr>
            </w:pPr>
            <w:r w:rsidRPr="00DF0349">
              <w:rPr>
                <w:b w:val="0"/>
                <w:sz w:val="20"/>
                <w:szCs w:val="20"/>
              </w:rPr>
              <w:t>Same placement requirements as other college students.</w:t>
            </w:r>
          </w:p>
        </w:tc>
        <w:tc>
          <w:tcPr>
            <w:tcW w:w="2340" w:type="dxa"/>
            <w:shd w:val="clear" w:color="auto" w:fill="E5DFEC" w:themeFill="accent4" w:themeFillTint="33"/>
          </w:tcPr>
          <w:p w:rsidR="00A35B66" w:rsidRPr="00DF0349" w:rsidRDefault="00955DB4" w:rsidP="00187C58">
            <w:pPr>
              <w:cnfStyle w:val="100000000000" w:firstRow="1" w:lastRow="0" w:firstColumn="0" w:lastColumn="0" w:oddVBand="0" w:evenVBand="0" w:oddHBand="0" w:evenHBand="0" w:firstRowFirstColumn="0" w:firstRowLastColumn="0" w:lastRowFirstColumn="0" w:lastRowLastColumn="0"/>
              <w:rPr>
                <w:b w:val="0"/>
                <w:sz w:val="20"/>
                <w:szCs w:val="20"/>
              </w:rPr>
            </w:pPr>
            <w:r w:rsidRPr="00DF0349">
              <w:rPr>
                <w:b w:val="0"/>
                <w:sz w:val="20"/>
                <w:szCs w:val="20"/>
              </w:rPr>
              <w:t xml:space="preserve">Statute allows for charge of up to 10% of tuition, currently, no tuition </w:t>
            </w:r>
            <w:r w:rsidR="00C92E62" w:rsidRPr="00DF0349">
              <w:rPr>
                <w:b w:val="0"/>
                <w:sz w:val="20"/>
                <w:szCs w:val="20"/>
              </w:rPr>
              <w:t>if student does not exceed 1.2FTE</w:t>
            </w:r>
            <w:r w:rsidRPr="00DF0349">
              <w:rPr>
                <w:b w:val="0"/>
                <w:sz w:val="20"/>
                <w:szCs w:val="20"/>
              </w:rPr>
              <w:t>.</w:t>
            </w:r>
            <w:r w:rsidR="00DF0349">
              <w:rPr>
                <w:b w:val="0"/>
                <w:sz w:val="20"/>
                <w:szCs w:val="20"/>
              </w:rPr>
              <w:t xml:space="preserve"> </w:t>
            </w:r>
            <w:r w:rsidR="00187C58" w:rsidRPr="00DF0349">
              <w:rPr>
                <w:b w:val="0"/>
                <w:sz w:val="20"/>
                <w:szCs w:val="20"/>
              </w:rPr>
              <w:t>Student pays transport</w:t>
            </w:r>
            <w:r w:rsidR="00A35B66" w:rsidRPr="00DF0349">
              <w:rPr>
                <w:b w:val="0"/>
                <w:sz w:val="20"/>
                <w:szCs w:val="20"/>
              </w:rPr>
              <w:t xml:space="preserve">, books, </w:t>
            </w:r>
            <w:proofErr w:type="gramStart"/>
            <w:r w:rsidR="00187C58" w:rsidRPr="00DF0349">
              <w:rPr>
                <w:b w:val="0"/>
                <w:sz w:val="20"/>
                <w:szCs w:val="20"/>
              </w:rPr>
              <w:t>fees</w:t>
            </w:r>
            <w:proofErr w:type="gramEnd"/>
            <w:r w:rsidR="00187C58" w:rsidRPr="00DF0349">
              <w:rPr>
                <w:b w:val="0"/>
                <w:sz w:val="20"/>
                <w:szCs w:val="20"/>
              </w:rPr>
              <w:t>.</w:t>
            </w:r>
          </w:p>
        </w:tc>
        <w:tc>
          <w:tcPr>
            <w:tcW w:w="1777" w:type="dxa"/>
            <w:shd w:val="clear" w:color="auto" w:fill="E5DFEC" w:themeFill="accent4" w:themeFillTint="33"/>
          </w:tcPr>
          <w:p w:rsidR="00A35B66" w:rsidRPr="00DF0349" w:rsidRDefault="002E06A8">
            <w:pPr>
              <w:cnfStyle w:val="100000000000" w:firstRow="1" w:lastRow="0" w:firstColumn="0" w:lastColumn="0" w:oddVBand="0" w:evenVBand="0" w:oddHBand="0" w:evenHBand="0" w:firstRowFirstColumn="0" w:firstRowLastColumn="0" w:lastRowFirstColumn="0" w:lastRowLastColumn="0"/>
              <w:rPr>
                <w:b w:val="0"/>
                <w:sz w:val="20"/>
                <w:szCs w:val="20"/>
              </w:rPr>
            </w:pPr>
            <w:r w:rsidRPr="00DF0349">
              <w:rPr>
                <w:b w:val="0"/>
                <w:sz w:val="20"/>
                <w:szCs w:val="20"/>
              </w:rPr>
              <w:t>Based on BEA. 93% goes to IHE; 7% stays with district.</w:t>
            </w:r>
          </w:p>
          <w:p w:rsidR="002E06A8" w:rsidRPr="00DF0349" w:rsidRDefault="002E06A8">
            <w:pPr>
              <w:cnfStyle w:val="100000000000" w:firstRow="1" w:lastRow="0" w:firstColumn="0" w:lastColumn="0" w:oddVBand="0" w:evenVBand="0" w:oddHBand="0" w:evenHBand="0" w:firstRowFirstColumn="0" w:firstRowLastColumn="0" w:lastRowFirstColumn="0" w:lastRowLastColumn="0"/>
              <w:rPr>
                <w:b w:val="0"/>
                <w:sz w:val="20"/>
                <w:szCs w:val="20"/>
              </w:rPr>
            </w:pPr>
          </w:p>
        </w:tc>
        <w:tc>
          <w:tcPr>
            <w:tcW w:w="4219" w:type="dxa"/>
            <w:shd w:val="clear" w:color="auto" w:fill="E5DFEC" w:themeFill="accent4" w:themeFillTint="33"/>
          </w:tcPr>
          <w:p w:rsidR="00A35B66" w:rsidRPr="00DF0349" w:rsidRDefault="00974C8A">
            <w:pPr>
              <w:cnfStyle w:val="100000000000" w:firstRow="1" w:lastRow="0" w:firstColumn="0" w:lastColumn="0" w:oddVBand="0" w:evenVBand="0" w:oddHBand="0" w:evenHBand="0" w:firstRowFirstColumn="0" w:firstRowLastColumn="0" w:lastRowFirstColumn="0" w:lastRowLastColumn="0"/>
              <w:rPr>
                <w:b w:val="0"/>
                <w:sz w:val="20"/>
                <w:szCs w:val="20"/>
              </w:rPr>
            </w:pPr>
            <w:r w:rsidRPr="00DF0349">
              <w:rPr>
                <w:b w:val="0"/>
                <w:sz w:val="20"/>
                <w:szCs w:val="20"/>
              </w:rPr>
              <w:t>Student may not understand the implications of (potentially poor) grades on a college transcript.</w:t>
            </w:r>
            <w:r w:rsidR="00270D8F" w:rsidRPr="00DF0349">
              <w:rPr>
                <w:b w:val="0"/>
                <w:sz w:val="20"/>
                <w:szCs w:val="20"/>
              </w:rPr>
              <w:t xml:space="preserve"> Students are more self-directed on campus.</w:t>
            </w:r>
          </w:p>
          <w:p w:rsidR="009310B7" w:rsidRPr="00DF0349" w:rsidRDefault="00676F49" w:rsidP="009310B7">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Calibri"/>
                <w:b w:val="0"/>
                <w:color w:val="000000"/>
                <w:sz w:val="20"/>
                <w:szCs w:val="20"/>
              </w:rPr>
            </w:pPr>
            <w:hyperlink r:id="rId8" w:history="1">
              <w:r w:rsidR="009310B7" w:rsidRPr="00DF0349">
                <w:rPr>
                  <w:rStyle w:val="Hyperlink"/>
                  <w:rFonts w:cs="Calibri"/>
                  <w:b w:val="0"/>
                  <w:sz w:val="20"/>
                  <w:szCs w:val="20"/>
                </w:rPr>
                <w:t>RCW 28A.600.300</w:t>
              </w:r>
            </w:hyperlink>
            <w:r w:rsidR="009310B7" w:rsidRPr="00DF0349">
              <w:rPr>
                <w:rFonts w:cs="Calibri"/>
                <w:b w:val="0"/>
                <w:color w:val="000000"/>
                <w:sz w:val="20"/>
                <w:szCs w:val="20"/>
              </w:rPr>
              <w:t xml:space="preserve">−400 </w:t>
            </w:r>
          </w:p>
          <w:p w:rsidR="009310B7" w:rsidRPr="00DF0349" w:rsidRDefault="00676F49" w:rsidP="002E06A8">
            <w:pPr>
              <w:cnfStyle w:val="100000000000" w:firstRow="1" w:lastRow="0" w:firstColumn="0" w:lastColumn="0" w:oddVBand="0" w:evenVBand="0" w:oddHBand="0" w:evenHBand="0" w:firstRowFirstColumn="0" w:firstRowLastColumn="0" w:lastRowFirstColumn="0" w:lastRowLastColumn="0"/>
              <w:rPr>
                <w:b w:val="0"/>
                <w:sz w:val="20"/>
                <w:szCs w:val="20"/>
              </w:rPr>
            </w:pPr>
            <w:hyperlink r:id="rId9" w:history="1">
              <w:r w:rsidR="009310B7" w:rsidRPr="00DF0349">
                <w:rPr>
                  <w:rStyle w:val="Hyperlink"/>
                  <w:rFonts w:cs="Calibri"/>
                  <w:b w:val="0"/>
                  <w:sz w:val="20"/>
                  <w:szCs w:val="20"/>
                </w:rPr>
                <w:t>WAC 392-169</w:t>
              </w:r>
            </w:hyperlink>
            <w:r w:rsidR="009310B7" w:rsidRPr="00DF0349">
              <w:rPr>
                <w:rFonts w:cs="Calibri"/>
                <w:b w:val="0"/>
                <w:color w:val="000000"/>
                <w:sz w:val="20"/>
                <w:szCs w:val="20"/>
              </w:rPr>
              <w:t xml:space="preserve"> Special Service Programs </w:t>
            </w:r>
            <w:r w:rsidR="002E06A8" w:rsidRPr="00DF0349">
              <w:rPr>
                <w:rFonts w:cs="Calibri"/>
                <w:b w:val="0"/>
                <w:color w:val="000000"/>
                <w:sz w:val="20"/>
                <w:szCs w:val="20"/>
              </w:rPr>
              <w:t>RS program</w:t>
            </w:r>
          </w:p>
        </w:tc>
      </w:tr>
      <w:tr w:rsidR="00DF0349" w:rsidRPr="00DF0349" w:rsidTr="00DF03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7" w:type="dxa"/>
          </w:tcPr>
          <w:p w:rsidR="00A35B66" w:rsidRDefault="00A35B66">
            <w:pPr>
              <w:rPr>
                <w:b w:val="0"/>
                <w:sz w:val="20"/>
                <w:szCs w:val="20"/>
              </w:rPr>
            </w:pPr>
            <w:r w:rsidRPr="00E30051">
              <w:rPr>
                <w:sz w:val="20"/>
                <w:szCs w:val="20"/>
              </w:rPr>
              <w:t>College in the HS</w:t>
            </w:r>
            <w:r w:rsidRPr="00DF0349">
              <w:rPr>
                <w:b w:val="0"/>
                <w:sz w:val="20"/>
                <w:szCs w:val="20"/>
              </w:rPr>
              <w:t xml:space="preserve"> (CHS)</w:t>
            </w:r>
          </w:p>
          <w:p w:rsidR="008D75C8" w:rsidRPr="00DF0349" w:rsidRDefault="008D75C8">
            <w:pPr>
              <w:rPr>
                <w:b w:val="0"/>
                <w:sz w:val="20"/>
                <w:szCs w:val="20"/>
              </w:rPr>
            </w:pPr>
            <w:r>
              <w:rPr>
                <w:b w:val="0"/>
                <w:sz w:val="20"/>
                <w:szCs w:val="20"/>
              </w:rPr>
              <w:t>112 (2011-12)</w:t>
            </w:r>
          </w:p>
        </w:tc>
        <w:tc>
          <w:tcPr>
            <w:tcW w:w="1097" w:type="dxa"/>
          </w:tcPr>
          <w:p w:rsidR="00A35B66" w:rsidRDefault="00C92E62">
            <w:pPr>
              <w:cnfStyle w:val="000000100000" w:firstRow="0" w:lastRow="0" w:firstColumn="0" w:lastColumn="0" w:oddVBand="0" w:evenVBand="0" w:oddHBand="1" w:evenHBand="0" w:firstRowFirstColumn="0" w:firstRowLastColumn="0" w:lastRowFirstColumn="0" w:lastRowLastColumn="0"/>
              <w:rPr>
                <w:sz w:val="20"/>
                <w:szCs w:val="20"/>
              </w:rPr>
            </w:pPr>
            <w:r w:rsidRPr="00DF0349">
              <w:rPr>
                <w:sz w:val="20"/>
                <w:szCs w:val="20"/>
              </w:rPr>
              <w:t>17,273</w:t>
            </w:r>
          </w:p>
          <w:p w:rsidR="0058583B" w:rsidRDefault="0058583B">
            <w:pPr>
              <w:cnfStyle w:val="000000100000" w:firstRow="0" w:lastRow="0" w:firstColumn="0" w:lastColumn="0" w:oddVBand="0" w:evenVBand="0" w:oddHBand="1" w:evenHBand="0" w:firstRowFirstColumn="0" w:firstRowLastColumn="0" w:lastRowFirstColumn="0" w:lastRowLastColumn="0"/>
              <w:rPr>
                <w:sz w:val="20"/>
                <w:szCs w:val="20"/>
              </w:rPr>
            </w:pPr>
          </w:p>
          <w:p w:rsidR="0058583B" w:rsidRPr="00DF0349" w:rsidRDefault="0058583B">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36,914</w:t>
            </w:r>
          </w:p>
        </w:tc>
        <w:tc>
          <w:tcPr>
            <w:tcW w:w="634" w:type="dxa"/>
          </w:tcPr>
          <w:p w:rsidR="00A35B66" w:rsidRPr="00DF0349" w:rsidRDefault="00A35B66">
            <w:pPr>
              <w:cnfStyle w:val="000000100000" w:firstRow="0" w:lastRow="0" w:firstColumn="0" w:lastColumn="0" w:oddVBand="0" w:evenVBand="0" w:oddHBand="1" w:evenHBand="0" w:firstRowFirstColumn="0" w:firstRowLastColumn="0" w:lastRowFirstColumn="0" w:lastRowLastColumn="0"/>
              <w:rPr>
                <w:sz w:val="20"/>
                <w:szCs w:val="20"/>
              </w:rPr>
            </w:pPr>
            <w:r w:rsidRPr="00DF0349">
              <w:rPr>
                <w:sz w:val="20"/>
                <w:szCs w:val="20"/>
              </w:rPr>
              <w:t>HS</w:t>
            </w:r>
          </w:p>
        </w:tc>
        <w:tc>
          <w:tcPr>
            <w:tcW w:w="810" w:type="dxa"/>
          </w:tcPr>
          <w:p w:rsidR="00692256" w:rsidRPr="00DF0349" w:rsidRDefault="00A35B66" w:rsidP="00692256">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DF0349">
              <w:rPr>
                <w:sz w:val="20"/>
                <w:szCs w:val="20"/>
              </w:rPr>
              <w:t>HS</w:t>
            </w:r>
            <w:r w:rsidR="00692256" w:rsidRPr="00DF0349">
              <w:rPr>
                <w:rStyle w:val="FootnoteReference"/>
                <w:sz w:val="20"/>
                <w:szCs w:val="20"/>
              </w:rPr>
              <w:footnoteReference w:id="5"/>
            </w:r>
            <w:r w:rsidR="009310B7" w:rsidRPr="00DF0349">
              <w:rPr>
                <w:sz w:val="20"/>
                <w:szCs w:val="20"/>
              </w:rPr>
              <w:t xml:space="preserve"> </w:t>
            </w:r>
          </w:p>
          <w:p w:rsidR="009310B7" w:rsidRPr="00DF0349" w:rsidRDefault="009310B7">
            <w:pPr>
              <w:cnfStyle w:val="000000100000" w:firstRow="0" w:lastRow="0" w:firstColumn="0" w:lastColumn="0" w:oddVBand="0" w:evenVBand="0" w:oddHBand="1" w:evenHBand="0" w:firstRowFirstColumn="0" w:firstRowLastColumn="0" w:lastRowFirstColumn="0" w:lastRowLastColumn="0"/>
              <w:rPr>
                <w:sz w:val="20"/>
                <w:szCs w:val="20"/>
              </w:rPr>
            </w:pPr>
          </w:p>
        </w:tc>
        <w:tc>
          <w:tcPr>
            <w:tcW w:w="2160" w:type="dxa"/>
          </w:tcPr>
          <w:p w:rsidR="00A35B66" w:rsidRPr="00DF0349" w:rsidRDefault="00A35B66" w:rsidP="00734F30">
            <w:pPr>
              <w:cnfStyle w:val="000000100000" w:firstRow="0" w:lastRow="0" w:firstColumn="0" w:lastColumn="0" w:oddVBand="0" w:evenVBand="0" w:oddHBand="1" w:evenHBand="0" w:firstRowFirstColumn="0" w:firstRowLastColumn="0" w:lastRowFirstColumn="0" w:lastRowLastColumn="0"/>
              <w:rPr>
                <w:sz w:val="20"/>
                <w:szCs w:val="20"/>
              </w:rPr>
            </w:pPr>
            <w:r w:rsidRPr="00DF0349">
              <w:rPr>
                <w:sz w:val="20"/>
                <w:szCs w:val="20"/>
              </w:rPr>
              <w:t xml:space="preserve">IHE, </w:t>
            </w:r>
            <w:r w:rsidR="00955DB4" w:rsidRPr="00DF0349">
              <w:rPr>
                <w:sz w:val="20"/>
                <w:szCs w:val="20"/>
              </w:rPr>
              <w:t xml:space="preserve">same as </w:t>
            </w:r>
            <w:r w:rsidR="00734F30" w:rsidRPr="00DF0349">
              <w:rPr>
                <w:sz w:val="20"/>
                <w:szCs w:val="20"/>
              </w:rPr>
              <w:t xml:space="preserve">regular course in </w:t>
            </w:r>
            <w:r w:rsidR="00955DB4" w:rsidRPr="00DF0349">
              <w:rPr>
                <w:sz w:val="20"/>
                <w:szCs w:val="20"/>
              </w:rPr>
              <w:t xml:space="preserve">college </w:t>
            </w:r>
            <w:r w:rsidR="00734F30" w:rsidRPr="00DF0349">
              <w:rPr>
                <w:sz w:val="20"/>
                <w:szCs w:val="20"/>
              </w:rPr>
              <w:t xml:space="preserve">catalog. Class includes </w:t>
            </w:r>
            <w:r w:rsidR="00955DB4" w:rsidRPr="00DF0349">
              <w:rPr>
                <w:sz w:val="20"/>
                <w:szCs w:val="20"/>
              </w:rPr>
              <w:t>high school students, only.</w:t>
            </w:r>
          </w:p>
        </w:tc>
        <w:tc>
          <w:tcPr>
            <w:tcW w:w="1350" w:type="dxa"/>
          </w:tcPr>
          <w:p w:rsidR="00A35B66" w:rsidRPr="00DF0349" w:rsidRDefault="00A35B66">
            <w:pPr>
              <w:cnfStyle w:val="000000100000" w:firstRow="0" w:lastRow="0" w:firstColumn="0" w:lastColumn="0" w:oddVBand="0" w:evenVBand="0" w:oddHBand="1" w:evenHBand="0" w:firstRowFirstColumn="0" w:firstRowLastColumn="0" w:lastRowFirstColumn="0" w:lastRowLastColumn="0"/>
              <w:rPr>
                <w:sz w:val="20"/>
                <w:szCs w:val="20"/>
              </w:rPr>
            </w:pPr>
            <w:r w:rsidRPr="00DF0349">
              <w:rPr>
                <w:sz w:val="20"/>
                <w:szCs w:val="20"/>
              </w:rPr>
              <w:t>Course completion</w:t>
            </w:r>
            <w:r w:rsidR="00E82168" w:rsidRPr="00DF0349">
              <w:rPr>
                <w:sz w:val="20"/>
                <w:szCs w:val="20"/>
              </w:rPr>
              <w:t>.</w:t>
            </w:r>
          </w:p>
        </w:tc>
        <w:tc>
          <w:tcPr>
            <w:tcW w:w="4410" w:type="dxa"/>
          </w:tcPr>
          <w:p w:rsidR="00A35B66" w:rsidRPr="00DF0349" w:rsidRDefault="00A35B66">
            <w:pPr>
              <w:cnfStyle w:val="000000100000" w:firstRow="0" w:lastRow="0" w:firstColumn="0" w:lastColumn="0" w:oddVBand="0" w:evenVBand="0" w:oddHBand="1" w:evenHBand="0" w:firstRowFirstColumn="0" w:firstRowLastColumn="0" w:lastRowFirstColumn="0" w:lastRowLastColumn="0"/>
              <w:rPr>
                <w:sz w:val="20"/>
                <w:szCs w:val="20"/>
              </w:rPr>
            </w:pPr>
            <w:r w:rsidRPr="00DF0349">
              <w:rPr>
                <w:sz w:val="20"/>
                <w:szCs w:val="20"/>
              </w:rPr>
              <w:t xml:space="preserve">Upon </w:t>
            </w:r>
            <w:r w:rsidR="00955DB4" w:rsidRPr="00DF0349">
              <w:rPr>
                <w:sz w:val="20"/>
                <w:szCs w:val="20"/>
              </w:rPr>
              <w:t>successful completion of course.</w:t>
            </w:r>
          </w:p>
          <w:p w:rsidR="00A35B66" w:rsidRPr="00DF0349" w:rsidRDefault="00A35B66">
            <w:pPr>
              <w:cnfStyle w:val="000000100000" w:firstRow="0" w:lastRow="0" w:firstColumn="0" w:lastColumn="0" w:oddVBand="0" w:evenVBand="0" w:oddHBand="1" w:evenHBand="0" w:firstRowFirstColumn="0" w:firstRowLastColumn="0" w:lastRowFirstColumn="0" w:lastRowLastColumn="0"/>
              <w:rPr>
                <w:sz w:val="20"/>
                <w:szCs w:val="20"/>
              </w:rPr>
            </w:pPr>
            <w:r w:rsidRPr="00DF0349">
              <w:rPr>
                <w:sz w:val="20"/>
                <w:szCs w:val="20"/>
              </w:rPr>
              <w:t>Same as other college students completing course on college campus.</w:t>
            </w:r>
          </w:p>
          <w:p w:rsidR="009310B7" w:rsidRPr="00DF0349" w:rsidRDefault="009310B7">
            <w:pPr>
              <w:cnfStyle w:val="000000100000" w:firstRow="0" w:lastRow="0" w:firstColumn="0" w:lastColumn="0" w:oddVBand="0" w:evenVBand="0" w:oddHBand="1" w:evenHBand="0" w:firstRowFirstColumn="0" w:firstRowLastColumn="0" w:lastRowFirstColumn="0" w:lastRowLastColumn="0"/>
              <w:rPr>
                <w:sz w:val="20"/>
                <w:szCs w:val="20"/>
              </w:rPr>
            </w:pPr>
            <w:r w:rsidRPr="00DF0349">
              <w:rPr>
                <w:rFonts w:cs="Arial"/>
                <w:color w:val="000000"/>
                <w:sz w:val="20"/>
                <w:szCs w:val="20"/>
              </w:rPr>
              <w:t>“…college credit shall be applied toward general education requirements or major requirements.”</w:t>
            </w:r>
          </w:p>
        </w:tc>
        <w:tc>
          <w:tcPr>
            <w:tcW w:w="2790" w:type="dxa"/>
          </w:tcPr>
          <w:p w:rsidR="00A35B66" w:rsidRPr="00DF0349" w:rsidRDefault="00A35B66" w:rsidP="009127C8">
            <w:pPr>
              <w:cnfStyle w:val="000000100000" w:firstRow="0" w:lastRow="0" w:firstColumn="0" w:lastColumn="0" w:oddVBand="0" w:evenVBand="0" w:oddHBand="1" w:evenHBand="0" w:firstRowFirstColumn="0" w:firstRowLastColumn="0" w:lastRowFirstColumn="0" w:lastRowLastColumn="0"/>
              <w:rPr>
                <w:sz w:val="20"/>
                <w:szCs w:val="20"/>
              </w:rPr>
            </w:pPr>
            <w:r w:rsidRPr="00DF0349">
              <w:rPr>
                <w:sz w:val="20"/>
                <w:szCs w:val="20"/>
              </w:rPr>
              <w:t>Grades 11-12.</w:t>
            </w:r>
          </w:p>
          <w:p w:rsidR="00A35B66" w:rsidRPr="00DF0349" w:rsidRDefault="009310B7" w:rsidP="009310B7">
            <w:pPr>
              <w:cnfStyle w:val="000000100000" w:firstRow="0" w:lastRow="0" w:firstColumn="0" w:lastColumn="0" w:oddVBand="0" w:evenVBand="0" w:oddHBand="1" w:evenHBand="0" w:firstRowFirstColumn="0" w:firstRowLastColumn="0" w:lastRowFirstColumn="0" w:lastRowLastColumn="0"/>
              <w:rPr>
                <w:sz w:val="20"/>
                <w:szCs w:val="20"/>
              </w:rPr>
            </w:pPr>
            <w:r w:rsidRPr="00DF0349">
              <w:rPr>
                <w:rFonts w:cs="Arial"/>
                <w:color w:val="000000"/>
                <w:sz w:val="20"/>
                <w:szCs w:val="20"/>
              </w:rPr>
              <w:t>“…HS and IHE together shall define the criteria for student eligibility.”</w:t>
            </w:r>
          </w:p>
        </w:tc>
        <w:tc>
          <w:tcPr>
            <w:tcW w:w="2340" w:type="dxa"/>
          </w:tcPr>
          <w:p w:rsidR="00E114B3" w:rsidRPr="00DF0349" w:rsidRDefault="00C740AF" w:rsidP="00E114B3">
            <w:pPr>
              <w:cnfStyle w:val="000000100000" w:firstRow="0" w:lastRow="0" w:firstColumn="0" w:lastColumn="0" w:oddVBand="0" w:evenVBand="0" w:oddHBand="1" w:evenHBand="0" w:firstRowFirstColumn="0" w:firstRowLastColumn="0" w:lastRowFirstColumn="0" w:lastRowLastColumn="0"/>
              <w:rPr>
                <w:sz w:val="20"/>
                <w:szCs w:val="20"/>
              </w:rPr>
            </w:pPr>
            <w:r w:rsidRPr="00DF0349">
              <w:rPr>
                <w:sz w:val="20"/>
                <w:szCs w:val="20"/>
              </w:rPr>
              <w:t>Fees</w:t>
            </w:r>
            <w:r w:rsidR="00A35B66" w:rsidRPr="00DF0349">
              <w:rPr>
                <w:sz w:val="20"/>
                <w:szCs w:val="20"/>
              </w:rPr>
              <w:t>.</w:t>
            </w:r>
          </w:p>
          <w:p w:rsidR="00A35B66" w:rsidRPr="00DF0349" w:rsidRDefault="00A35B66" w:rsidP="00E114B3">
            <w:pPr>
              <w:cnfStyle w:val="000000100000" w:firstRow="0" w:lastRow="0" w:firstColumn="0" w:lastColumn="0" w:oddVBand="0" w:evenVBand="0" w:oddHBand="1" w:evenHBand="0" w:firstRowFirstColumn="0" w:firstRowLastColumn="0" w:lastRowFirstColumn="0" w:lastRowLastColumn="0"/>
              <w:rPr>
                <w:sz w:val="20"/>
                <w:szCs w:val="20"/>
              </w:rPr>
            </w:pPr>
            <w:r w:rsidRPr="00DF0349">
              <w:rPr>
                <w:sz w:val="20"/>
                <w:szCs w:val="20"/>
              </w:rPr>
              <w:t>Ex. $188/Ev</w:t>
            </w:r>
            <w:r w:rsidR="00E114B3" w:rsidRPr="00DF0349">
              <w:rPr>
                <w:sz w:val="20"/>
                <w:szCs w:val="20"/>
              </w:rPr>
              <w:t xml:space="preserve">erett </w:t>
            </w:r>
            <w:r w:rsidRPr="00DF0349">
              <w:rPr>
                <w:sz w:val="20"/>
                <w:szCs w:val="20"/>
              </w:rPr>
              <w:t>CC; $350/UW. Some districts cover cost</w:t>
            </w:r>
            <w:r w:rsidR="00955DB4" w:rsidRPr="00DF0349">
              <w:rPr>
                <w:sz w:val="20"/>
                <w:szCs w:val="20"/>
              </w:rPr>
              <w:t xml:space="preserve"> to students</w:t>
            </w:r>
            <w:r w:rsidR="00E82168" w:rsidRPr="00DF0349">
              <w:rPr>
                <w:sz w:val="20"/>
                <w:szCs w:val="20"/>
              </w:rPr>
              <w:t>.</w:t>
            </w:r>
            <w:r w:rsidRPr="00DF0349">
              <w:rPr>
                <w:sz w:val="20"/>
                <w:szCs w:val="20"/>
              </w:rPr>
              <w:t xml:space="preserve"> </w:t>
            </w:r>
          </w:p>
        </w:tc>
        <w:tc>
          <w:tcPr>
            <w:tcW w:w="1777" w:type="dxa"/>
          </w:tcPr>
          <w:p w:rsidR="00A35B66" w:rsidRPr="00DF0349" w:rsidRDefault="002E06A8" w:rsidP="00DF0349">
            <w:pPr>
              <w:cnfStyle w:val="000000100000" w:firstRow="0" w:lastRow="0" w:firstColumn="0" w:lastColumn="0" w:oddVBand="0" w:evenVBand="0" w:oddHBand="1" w:evenHBand="0" w:firstRowFirstColumn="0" w:firstRowLastColumn="0" w:lastRowFirstColumn="0" w:lastRowLastColumn="0"/>
              <w:rPr>
                <w:sz w:val="20"/>
                <w:szCs w:val="20"/>
              </w:rPr>
            </w:pPr>
            <w:r w:rsidRPr="00DF0349">
              <w:rPr>
                <w:sz w:val="20"/>
                <w:szCs w:val="20"/>
              </w:rPr>
              <w:t>District retains full 1.0 FTE/BEA.</w:t>
            </w:r>
            <w:r w:rsidR="00955DB4" w:rsidRPr="00DF0349">
              <w:rPr>
                <w:sz w:val="20"/>
                <w:szCs w:val="20"/>
              </w:rPr>
              <w:t xml:space="preserve"> Schools may have to purchase required </w:t>
            </w:r>
            <w:r w:rsidR="00DF0349">
              <w:rPr>
                <w:sz w:val="20"/>
                <w:szCs w:val="20"/>
              </w:rPr>
              <w:t>books.</w:t>
            </w:r>
          </w:p>
        </w:tc>
        <w:tc>
          <w:tcPr>
            <w:tcW w:w="4219" w:type="dxa"/>
          </w:tcPr>
          <w:p w:rsidR="00D90753" w:rsidRPr="00DF0349" w:rsidRDefault="00D90753" w:rsidP="00D90753">
            <w:pPr>
              <w:cnfStyle w:val="000000100000" w:firstRow="0" w:lastRow="0" w:firstColumn="0" w:lastColumn="0" w:oddVBand="0" w:evenVBand="0" w:oddHBand="1" w:evenHBand="0" w:firstRowFirstColumn="0" w:firstRowLastColumn="0" w:lastRowFirstColumn="0" w:lastRowLastColumn="0"/>
              <w:rPr>
                <w:sz w:val="20"/>
                <w:szCs w:val="20"/>
              </w:rPr>
            </w:pPr>
            <w:r w:rsidRPr="00DF0349">
              <w:rPr>
                <w:sz w:val="20"/>
                <w:szCs w:val="20"/>
              </w:rPr>
              <w:t>Student may not understand the implications of (potentially poor) grades on a college transcript.</w:t>
            </w:r>
          </w:p>
          <w:p w:rsidR="00A35B66" w:rsidRPr="00DF0349" w:rsidRDefault="00676F49">
            <w:pPr>
              <w:cnfStyle w:val="000000100000" w:firstRow="0" w:lastRow="0" w:firstColumn="0" w:lastColumn="0" w:oddVBand="0" w:evenVBand="0" w:oddHBand="1" w:evenHBand="0" w:firstRowFirstColumn="0" w:firstRowLastColumn="0" w:lastRowFirstColumn="0" w:lastRowLastColumn="0"/>
              <w:rPr>
                <w:sz w:val="20"/>
                <w:szCs w:val="20"/>
              </w:rPr>
            </w:pPr>
            <w:hyperlink r:id="rId10" w:history="1">
              <w:r w:rsidR="00DF67D1" w:rsidRPr="00DF0349">
                <w:rPr>
                  <w:rStyle w:val="Hyperlink"/>
                  <w:sz w:val="20"/>
                  <w:szCs w:val="20"/>
                </w:rPr>
                <w:t>RCW 28A.600.290</w:t>
              </w:r>
            </w:hyperlink>
            <w:r w:rsidR="00DF67D1" w:rsidRPr="00DF0349">
              <w:rPr>
                <w:sz w:val="20"/>
                <w:szCs w:val="20"/>
              </w:rPr>
              <w:t xml:space="preserve"> </w:t>
            </w:r>
          </w:p>
        </w:tc>
      </w:tr>
    </w:tbl>
    <w:p w:rsidR="00281F75" w:rsidRDefault="00281F75" w:rsidP="00281F75">
      <w:pPr>
        <w:spacing w:after="0"/>
      </w:pPr>
    </w:p>
    <w:tbl>
      <w:tblPr>
        <w:tblStyle w:val="TableGrid"/>
        <w:tblW w:w="23328" w:type="dxa"/>
        <w:tblLayout w:type="fixed"/>
        <w:tblLook w:val="04A0" w:firstRow="1" w:lastRow="0" w:firstColumn="1" w:lastColumn="0" w:noHBand="0" w:noVBand="1"/>
      </w:tblPr>
      <w:tblGrid>
        <w:gridCol w:w="7668"/>
        <w:gridCol w:w="15660"/>
      </w:tblGrid>
      <w:tr w:rsidR="00281F75" w:rsidTr="00D90753">
        <w:tc>
          <w:tcPr>
            <w:tcW w:w="7668" w:type="dxa"/>
          </w:tcPr>
          <w:p w:rsidR="00281F75" w:rsidRPr="008F66C4" w:rsidRDefault="00281F75" w:rsidP="00281F75">
            <w:pPr>
              <w:rPr>
                <w:b/>
                <w:sz w:val="18"/>
                <w:szCs w:val="18"/>
              </w:rPr>
            </w:pPr>
            <w:r w:rsidRPr="008F66C4">
              <w:rPr>
                <w:b/>
                <w:sz w:val="18"/>
                <w:szCs w:val="18"/>
              </w:rPr>
              <w:t>Legend</w:t>
            </w:r>
          </w:p>
          <w:p w:rsidR="00281F75" w:rsidRPr="008F66C4" w:rsidRDefault="00281F75" w:rsidP="00281F75">
            <w:pPr>
              <w:rPr>
                <w:sz w:val="18"/>
                <w:szCs w:val="18"/>
              </w:rPr>
            </w:pPr>
            <w:r w:rsidRPr="008F66C4">
              <w:rPr>
                <w:sz w:val="18"/>
                <w:szCs w:val="18"/>
              </w:rPr>
              <w:t>HS:</w:t>
            </w:r>
            <w:r w:rsidRPr="008F66C4">
              <w:rPr>
                <w:sz w:val="18"/>
                <w:szCs w:val="18"/>
              </w:rPr>
              <w:tab/>
              <w:t>High School</w:t>
            </w:r>
          </w:p>
          <w:p w:rsidR="00281F75" w:rsidRPr="008F66C4" w:rsidRDefault="00281F75" w:rsidP="00281F75">
            <w:pPr>
              <w:rPr>
                <w:sz w:val="18"/>
                <w:szCs w:val="18"/>
              </w:rPr>
            </w:pPr>
            <w:r w:rsidRPr="008F66C4">
              <w:rPr>
                <w:sz w:val="18"/>
                <w:szCs w:val="18"/>
              </w:rPr>
              <w:t xml:space="preserve">IHE: </w:t>
            </w:r>
            <w:r w:rsidRPr="008F66C4">
              <w:rPr>
                <w:sz w:val="18"/>
                <w:szCs w:val="18"/>
              </w:rPr>
              <w:tab/>
              <w:t>Institute of Higher Education (college or university)</w:t>
            </w:r>
          </w:p>
          <w:p w:rsidR="00281F75" w:rsidRPr="008F66C4" w:rsidRDefault="00281F75" w:rsidP="00281F75">
            <w:pPr>
              <w:rPr>
                <w:sz w:val="18"/>
                <w:szCs w:val="18"/>
              </w:rPr>
            </w:pPr>
            <w:r w:rsidRPr="008F66C4">
              <w:rPr>
                <w:sz w:val="18"/>
                <w:szCs w:val="18"/>
              </w:rPr>
              <w:t>HL:</w:t>
            </w:r>
            <w:r w:rsidRPr="008F66C4">
              <w:rPr>
                <w:sz w:val="18"/>
                <w:szCs w:val="18"/>
              </w:rPr>
              <w:tab/>
              <w:t>High Level (International Baccalaureate exams)</w:t>
            </w:r>
          </w:p>
          <w:p w:rsidR="00281F75" w:rsidRPr="008F66C4" w:rsidRDefault="00281F75" w:rsidP="00281F75">
            <w:pPr>
              <w:rPr>
                <w:sz w:val="18"/>
                <w:szCs w:val="18"/>
              </w:rPr>
            </w:pPr>
            <w:r w:rsidRPr="008F66C4">
              <w:rPr>
                <w:sz w:val="18"/>
                <w:szCs w:val="18"/>
              </w:rPr>
              <w:t>SL:</w:t>
            </w:r>
            <w:r w:rsidRPr="008F66C4">
              <w:rPr>
                <w:sz w:val="18"/>
                <w:szCs w:val="18"/>
              </w:rPr>
              <w:tab/>
              <w:t>Standard Level (International Baccalaureate exams)</w:t>
            </w:r>
          </w:p>
          <w:p w:rsidR="0017668D" w:rsidRPr="008F66C4" w:rsidRDefault="0017668D" w:rsidP="00281F75">
            <w:pPr>
              <w:rPr>
                <w:sz w:val="18"/>
                <w:szCs w:val="18"/>
              </w:rPr>
            </w:pPr>
            <w:r w:rsidRPr="008F66C4">
              <w:rPr>
                <w:sz w:val="18"/>
                <w:szCs w:val="18"/>
              </w:rPr>
              <w:t xml:space="preserve">OSPI provides </w:t>
            </w:r>
            <w:hyperlink r:id="rId11" w:history="1">
              <w:r w:rsidRPr="008F66C4">
                <w:rPr>
                  <w:rStyle w:val="Hyperlink"/>
                  <w:sz w:val="18"/>
                  <w:szCs w:val="18"/>
                </w:rPr>
                <w:t>program briefs for each dual credit option</w:t>
              </w:r>
            </w:hyperlink>
            <w:r w:rsidRPr="008F66C4">
              <w:rPr>
                <w:sz w:val="18"/>
                <w:szCs w:val="18"/>
              </w:rPr>
              <w:t xml:space="preserve">. </w:t>
            </w:r>
          </w:p>
          <w:p w:rsidR="00281F75" w:rsidRPr="008F66C4" w:rsidRDefault="009D5C01" w:rsidP="0017668D">
            <w:pPr>
              <w:rPr>
                <w:sz w:val="18"/>
                <w:szCs w:val="18"/>
              </w:rPr>
            </w:pPr>
            <w:r w:rsidRPr="008F66C4">
              <w:rPr>
                <w:sz w:val="18"/>
                <w:szCs w:val="18"/>
              </w:rPr>
              <w:t xml:space="preserve">OSPI provides slides explaining the </w:t>
            </w:r>
            <w:hyperlink r:id="rId12" w:history="1">
              <w:r w:rsidRPr="008F66C4">
                <w:rPr>
                  <w:rStyle w:val="Hyperlink"/>
                  <w:sz w:val="18"/>
                  <w:szCs w:val="18"/>
                </w:rPr>
                <w:t>RS (in the HS setting) funding formula.</w:t>
              </w:r>
            </w:hyperlink>
          </w:p>
        </w:tc>
        <w:tc>
          <w:tcPr>
            <w:tcW w:w="15660" w:type="dxa"/>
          </w:tcPr>
          <w:p w:rsidR="00281F75" w:rsidRPr="008F66C4" w:rsidRDefault="00281F75" w:rsidP="00281F75">
            <w:pPr>
              <w:rPr>
                <w:b/>
                <w:sz w:val="18"/>
                <w:szCs w:val="18"/>
              </w:rPr>
            </w:pPr>
            <w:r w:rsidRPr="008F66C4">
              <w:rPr>
                <w:b/>
                <w:sz w:val="18"/>
                <w:szCs w:val="18"/>
              </w:rPr>
              <w:t>Financial Aid Considerations</w:t>
            </w:r>
          </w:p>
          <w:p w:rsidR="00281F75" w:rsidRPr="008F66C4" w:rsidRDefault="00281F75" w:rsidP="00281F75">
            <w:pPr>
              <w:pStyle w:val="ListParagraph"/>
              <w:numPr>
                <w:ilvl w:val="0"/>
                <w:numId w:val="3"/>
              </w:numPr>
              <w:contextualSpacing w:val="0"/>
              <w:rPr>
                <w:sz w:val="18"/>
                <w:szCs w:val="18"/>
              </w:rPr>
            </w:pPr>
            <w:r w:rsidRPr="008F66C4">
              <w:rPr>
                <w:sz w:val="18"/>
                <w:szCs w:val="18"/>
              </w:rPr>
              <w:t>Dual credit students are generally not eligible for state or federal financial aid, while they are still in high school.</w:t>
            </w:r>
          </w:p>
          <w:p w:rsidR="00281F75" w:rsidRPr="008F66C4" w:rsidRDefault="00281F75" w:rsidP="00281F75">
            <w:pPr>
              <w:pStyle w:val="ListParagraph"/>
              <w:numPr>
                <w:ilvl w:val="0"/>
                <w:numId w:val="3"/>
              </w:numPr>
              <w:contextualSpacing w:val="0"/>
              <w:rPr>
                <w:sz w:val="18"/>
                <w:szCs w:val="18"/>
              </w:rPr>
            </w:pPr>
            <w:r w:rsidRPr="008F66C4">
              <w:rPr>
                <w:sz w:val="18"/>
                <w:szCs w:val="18"/>
              </w:rPr>
              <w:t xml:space="preserve">Credits earned in dual credit programs will be considered in the </w:t>
            </w:r>
            <w:r w:rsidRPr="008F66C4">
              <w:rPr>
                <w:b/>
                <w:sz w:val="18"/>
                <w:szCs w:val="18"/>
              </w:rPr>
              <w:t>satisfactory academic progress</w:t>
            </w:r>
            <w:r w:rsidRPr="008F66C4">
              <w:rPr>
                <w:sz w:val="18"/>
                <w:szCs w:val="18"/>
              </w:rPr>
              <w:t xml:space="preserve"> evaluation for determining financial aid eligibility. </w:t>
            </w:r>
          </w:p>
          <w:p w:rsidR="00281F75" w:rsidRPr="008F66C4" w:rsidRDefault="00281F75" w:rsidP="00281F75">
            <w:pPr>
              <w:numPr>
                <w:ilvl w:val="1"/>
                <w:numId w:val="3"/>
              </w:numPr>
              <w:spacing w:before="100" w:beforeAutospacing="1" w:after="100" w:afterAutospacing="1"/>
              <w:rPr>
                <w:sz w:val="18"/>
                <w:szCs w:val="18"/>
              </w:rPr>
            </w:pPr>
            <w:r w:rsidRPr="008F66C4">
              <w:rPr>
                <w:sz w:val="18"/>
                <w:szCs w:val="18"/>
              </w:rPr>
              <w:t>The grades received in dual credit courses will be included in the GPA and credit completion standards as part of the evaluation.</w:t>
            </w:r>
          </w:p>
          <w:p w:rsidR="00281F75" w:rsidRPr="008F66C4" w:rsidRDefault="00281F75" w:rsidP="002E06A8">
            <w:pPr>
              <w:numPr>
                <w:ilvl w:val="1"/>
                <w:numId w:val="3"/>
              </w:numPr>
              <w:spacing w:before="100" w:beforeAutospacing="1" w:after="100" w:afterAutospacing="1"/>
              <w:rPr>
                <w:sz w:val="18"/>
                <w:szCs w:val="18"/>
              </w:rPr>
            </w:pPr>
            <w:r w:rsidRPr="008F66C4">
              <w:rPr>
                <w:sz w:val="18"/>
                <w:szCs w:val="18"/>
              </w:rPr>
              <w:t>Dual credit coursework, like any coursework regardless of the source of tuition payment, will count toward the maximum credit level permitted for financial aid eligibility. The student can acquire up to 125 percent or 150 percent of the total credits required for their degree or certificate program.</w:t>
            </w:r>
          </w:p>
          <w:p w:rsidR="00281F75" w:rsidRPr="008F66C4" w:rsidRDefault="00281F75" w:rsidP="0060526E">
            <w:pPr>
              <w:pStyle w:val="ListParagraph"/>
              <w:numPr>
                <w:ilvl w:val="0"/>
                <w:numId w:val="3"/>
              </w:numPr>
              <w:contextualSpacing w:val="0"/>
              <w:rPr>
                <w:sz w:val="18"/>
                <w:szCs w:val="18"/>
              </w:rPr>
            </w:pPr>
            <w:r w:rsidRPr="008F66C4">
              <w:rPr>
                <w:sz w:val="18"/>
                <w:szCs w:val="18"/>
              </w:rPr>
              <w:t xml:space="preserve">Federal student loan programs permit higher awards for second and third-year students than for first-year students. Dual credit students may qualify for the higher loan amounts upon achieving second or third year status after graduating high school. </w:t>
            </w:r>
          </w:p>
        </w:tc>
      </w:tr>
    </w:tbl>
    <w:p w:rsidR="005D4A5F" w:rsidRPr="005D4A5F" w:rsidRDefault="005D4A5F" w:rsidP="00BA7AA5">
      <w:pPr>
        <w:autoSpaceDE w:val="0"/>
        <w:autoSpaceDN w:val="0"/>
        <w:adjustRightInd w:val="0"/>
        <w:spacing w:after="0" w:line="240" w:lineRule="auto"/>
        <w:rPr>
          <w:sz w:val="24"/>
          <w:szCs w:val="24"/>
        </w:rPr>
      </w:pPr>
    </w:p>
    <w:sectPr w:rsidR="005D4A5F" w:rsidRPr="005D4A5F" w:rsidSect="008F66C4">
      <w:footerReference w:type="default" r:id="rId13"/>
      <w:pgSz w:w="24480" w:h="15840" w:orient="landscape" w:code="17"/>
      <w:pgMar w:top="432" w:right="720" w:bottom="432"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7C8" w:rsidRDefault="009127C8" w:rsidP="009127C8">
      <w:pPr>
        <w:spacing w:after="0" w:line="240" w:lineRule="auto"/>
      </w:pPr>
      <w:r>
        <w:separator/>
      </w:r>
    </w:p>
  </w:endnote>
  <w:endnote w:type="continuationSeparator" w:id="0">
    <w:p w:rsidR="009127C8" w:rsidRDefault="009127C8" w:rsidP="00912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6C4" w:rsidRDefault="008F66C4" w:rsidP="008F66C4">
    <w:pPr>
      <w:pStyle w:val="Footer"/>
      <w:jc w:val="right"/>
    </w:pPr>
    <w:r>
      <w:t>Washington Studen</w:t>
    </w:r>
    <w:r w:rsidR="008D706B">
      <w:t>t</w:t>
    </w:r>
    <w:r w:rsidR="00F52144">
      <w:t xml:space="preserve"> Achievement Council February 18</w:t>
    </w:r>
    <w:r>
      <w:t>, 2015</w:t>
    </w:r>
  </w:p>
  <w:p w:rsidR="00640DC3" w:rsidRDefault="00640D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7C8" w:rsidRDefault="009127C8" w:rsidP="009127C8">
      <w:pPr>
        <w:spacing w:after="0" w:line="240" w:lineRule="auto"/>
      </w:pPr>
      <w:r>
        <w:separator/>
      </w:r>
    </w:p>
  </w:footnote>
  <w:footnote w:type="continuationSeparator" w:id="0">
    <w:p w:rsidR="009127C8" w:rsidRDefault="009127C8" w:rsidP="009127C8">
      <w:pPr>
        <w:spacing w:after="0" w:line="240" w:lineRule="auto"/>
      </w:pPr>
      <w:r>
        <w:continuationSeparator/>
      </w:r>
    </w:p>
  </w:footnote>
  <w:footnote w:id="1">
    <w:p w:rsidR="00A35B66" w:rsidRDefault="00A35B66" w:rsidP="00281F75">
      <w:pPr>
        <w:pStyle w:val="FootnoteText"/>
        <w:contextualSpacing/>
      </w:pPr>
      <w:r>
        <w:rPr>
          <w:rStyle w:val="FootnoteReference"/>
        </w:rPr>
        <w:footnoteRef/>
      </w:r>
      <w:r>
        <w:t xml:space="preserve"> Non-duplicated headcount.</w:t>
      </w:r>
      <w:r w:rsidR="00415FAA">
        <w:t xml:space="preserve"> </w:t>
      </w:r>
      <w:hyperlink r:id="rId1" w:history="1">
        <w:r w:rsidR="00415FAA" w:rsidRPr="009538DD">
          <w:rPr>
            <w:rStyle w:val="Hyperlink"/>
          </w:rPr>
          <w:t>OSPI program brief</w:t>
        </w:r>
      </w:hyperlink>
      <w:r w:rsidR="00415FAA">
        <w:t xml:space="preserve"> cites CEDARS</w:t>
      </w:r>
      <w:r w:rsidR="009538DD">
        <w:t xml:space="preserve"> as the data source</w:t>
      </w:r>
      <w:r w:rsidR="00415FAA">
        <w:t>.</w:t>
      </w:r>
      <w:r w:rsidR="00C92E62">
        <w:t xml:space="preserve"> Counts provided by Becky McLean, OSPI.</w:t>
      </w:r>
      <w:r w:rsidR="00B477EA">
        <w:t xml:space="preserve"> Credits=Total credits enrolled, not completed.</w:t>
      </w:r>
    </w:p>
  </w:footnote>
  <w:footnote w:id="2">
    <w:p w:rsidR="00C9375A" w:rsidRPr="00C9375A" w:rsidRDefault="00C9375A" w:rsidP="00281F75">
      <w:pPr>
        <w:pStyle w:val="FootnoteText"/>
        <w:contextualSpacing/>
      </w:pPr>
      <w:r>
        <w:rPr>
          <w:rStyle w:val="FootnoteReference"/>
        </w:rPr>
        <w:footnoteRef/>
      </w:r>
      <w:r>
        <w:t xml:space="preserve"> </w:t>
      </w:r>
      <w:r w:rsidRPr="00C9375A">
        <w:t xml:space="preserve">Title I, Part G, the federal advanced placement test fee program. Source: Barbara </w:t>
      </w:r>
      <w:proofErr w:type="spellStart"/>
      <w:r w:rsidRPr="00C9375A">
        <w:t>Dittrich</w:t>
      </w:r>
      <w:proofErr w:type="spellEnd"/>
      <w:r w:rsidRPr="00C9375A">
        <w:t>, OSPI.</w:t>
      </w:r>
    </w:p>
  </w:footnote>
  <w:footnote w:id="3">
    <w:p w:rsidR="005B1792" w:rsidRDefault="005B1792">
      <w:pPr>
        <w:pStyle w:val="FootnoteText"/>
        <w:contextualSpacing/>
      </w:pPr>
      <w:r>
        <w:rPr>
          <w:rStyle w:val="FootnoteReference"/>
        </w:rPr>
        <w:footnoteRef/>
      </w:r>
      <w:r>
        <w:t xml:space="preserve"> Tech Prep-eligible. </w:t>
      </w:r>
      <w:r w:rsidRPr="009310B7">
        <w:t>Many students enroll in Tech Prep to fulfill a HS CTE requirement, without intending to apply for college credit.</w:t>
      </w:r>
      <w:r>
        <w:t xml:space="preserve"> Source: OSPI </w:t>
      </w:r>
      <w:hyperlink r:id="rId2" w:history="1">
        <w:r w:rsidRPr="005B1792">
          <w:rPr>
            <w:rStyle w:val="Hyperlink"/>
          </w:rPr>
          <w:t>2013 Dual Credit Legislative Report</w:t>
        </w:r>
      </w:hyperlink>
    </w:p>
  </w:footnote>
  <w:footnote w:id="4">
    <w:p w:rsidR="00A35B66" w:rsidRDefault="00A35B66" w:rsidP="00281F75">
      <w:pPr>
        <w:spacing w:after="0"/>
        <w:contextualSpacing/>
      </w:pPr>
      <w:r>
        <w:rPr>
          <w:rStyle w:val="FootnoteReference"/>
        </w:rPr>
        <w:footnoteRef/>
      </w:r>
      <w:r>
        <w:t xml:space="preserve"> </w:t>
      </w:r>
      <w:r w:rsidR="00C92E62" w:rsidRPr="00C92E62">
        <w:rPr>
          <w:sz w:val="20"/>
          <w:szCs w:val="20"/>
        </w:rPr>
        <w:t xml:space="preserve">Several institutes of higher education, including </w:t>
      </w:r>
      <w:r w:rsidRPr="00C92E62">
        <w:rPr>
          <w:sz w:val="20"/>
          <w:szCs w:val="20"/>
        </w:rPr>
        <w:t>CWU</w:t>
      </w:r>
      <w:r w:rsidRPr="00692256">
        <w:rPr>
          <w:rFonts w:cs="Arial"/>
          <w:color w:val="000000"/>
          <w:sz w:val="20"/>
          <w:szCs w:val="20"/>
        </w:rPr>
        <w:t xml:space="preserve"> and EWU are offering courses taught by HS teachers, in the HS classroom (College in the High School instructional model), using the Running Start funding model. Those programs are called Running Start in the High School.</w:t>
      </w:r>
      <w:r w:rsidR="00187C58">
        <w:rPr>
          <w:rFonts w:cs="Arial"/>
          <w:color w:val="000000"/>
          <w:sz w:val="20"/>
          <w:szCs w:val="20"/>
        </w:rPr>
        <w:t xml:space="preserve"> </w:t>
      </w:r>
      <w:r w:rsidR="002E06A8">
        <w:rPr>
          <w:rFonts w:cs="Arial"/>
          <w:color w:val="000000"/>
          <w:sz w:val="20"/>
          <w:szCs w:val="20"/>
        </w:rPr>
        <w:t xml:space="preserve">Cost/funding: no cost to student for first course, </w:t>
      </w:r>
      <w:r w:rsidR="00734F30">
        <w:rPr>
          <w:rFonts w:cs="Arial"/>
          <w:color w:val="000000"/>
          <w:sz w:val="20"/>
          <w:szCs w:val="20"/>
        </w:rPr>
        <w:t>fee to student</w:t>
      </w:r>
      <w:r w:rsidR="002E06A8">
        <w:rPr>
          <w:rFonts w:cs="Arial"/>
          <w:color w:val="000000"/>
          <w:sz w:val="20"/>
          <w:szCs w:val="20"/>
        </w:rPr>
        <w:t xml:space="preserve"> for subsequent courses. 93/7 split of BEA per student/per class, with a negotiable amount of the 93% back to the district. </w:t>
      </w:r>
      <w:r w:rsidR="00416FD5">
        <w:rPr>
          <w:rFonts w:cs="Arial"/>
          <w:color w:val="000000"/>
          <w:sz w:val="20"/>
          <w:szCs w:val="20"/>
        </w:rPr>
        <w:t xml:space="preserve">See </w:t>
      </w:r>
      <w:hyperlink r:id="rId3" w:history="1">
        <w:r w:rsidR="00416FD5" w:rsidRPr="00416FD5">
          <w:rPr>
            <w:rStyle w:val="Hyperlink"/>
            <w:rFonts w:cs="Arial"/>
            <w:sz w:val="20"/>
            <w:szCs w:val="20"/>
          </w:rPr>
          <w:t>OSPI Running Start page</w:t>
        </w:r>
      </w:hyperlink>
      <w:r w:rsidR="00416FD5">
        <w:rPr>
          <w:rFonts w:cs="Arial"/>
          <w:color w:val="000000"/>
          <w:sz w:val="20"/>
          <w:szCs w:val="20"/>
        </w:rPr>
        <w:t xml:space="preserve"> for further details, including the formula counselors must use each quarter, with each student to determine </w:t>
      </w:r>
      <w:r w:rsidR="00B477EA">
        <w:rPr>
          <w:rFonts w:cs="Arial"/>
          <w:color w:val="000000"/>
          <w:sz w:val="20"/>
          <w:szCs w:val="20"/>
        </w:rPr>
        <w:t xml:space="preserve">continued </w:t>
      </w:r>
      <w:r w:rsidR="00416FD5">
        <w:rPr>
          <w:rFonts w:cs="Arial"/>
          <w:color w:val="000000"/>
          <w:sz w:val="20"/>
          <w:szCs w:val="20"/>
        </w:rPr>
        <w:t>eligibility</w:t>
      </w:r>
      <w:r w:rsidR="00B477EA">
        <w:rPr>
          <w:rFonts w:cs="Arial"/>
          <w:color w:val="000000"/>
          <w:sz w:val="20"/>
          <w:szCs w:val="20"/>
        </w:rPr>
        <w:t xml:space="preserve"> for dual credit programs</w:t>
      </w:r>
      <w:r w:rsidR="00416FD5">
        <w:rPr>
          <w:rFonts w:cs="Arial"/>
          <w:color w:val="000000"/>
          <w:sz w:val="20"/>
          <w:szCs w:val="20"/>
        </w:rPr>
        <w:t>.</w:t>
      </w:r>
    </w:p>
  </w:footnote>
  <w:footnote w:id="5">
    <w:p w:rsidR="00692256" w:rsidRPr="00692256" w:rsidRDefault="00692256" w:rsidP="00281F75">
      <w:pPr>
        <w:spacing w:after="0"/>
        <w:contextualSpacing/>
        <w:rPr>
          <w:sz w:val="20"/>
          <w:szCs w:val="20"/>
        </w:rPr>
      </w:pPr>
      <w:r>
        <w:rPr>
          <w:rStyle w:val="FootnoteReference"/>
        </w:rPr>
        <w:footnoteRef/>
      </w:r>
      <w:r>
        <w:t xml:space="preserve"> </w:t>
      </w:r>
      <w:r>
        <w:rPr>
          <w:sz w:val="20"/>
          <w:szCs w:val="20"/>
        </w:rPr>
        <w:t xml:space="preserve">In practice, HS teachers are teaching these courses. </w:t>
      </w:r>
      <w:hyperlink r:id="rId4" w:history="1">
        <w:r w:rsidRPr="009310B7">
          <w:rPr>
            <w:rStyle w:val="Hyperlink"/>
            <w:sz w:val="20"/>
            <w:szCs w:val="20"/>
          </w:rPr>
          <w:t>RCW 28A.600.290</w:t>
        </w:r>
      </w:hyperlink>
      <w:r w:rsidRPr="009310B7">
        <w:rPr>
          <w:sz w:val="20"/>
          <w:szCs w:val="20"/>
        </w:rPr>
        <w:t xml:space="preserve"> </w:t>
      </w:r>
      <w:r>
        <w:rPr>
          <w:sz w:val="20"/>
          <w:szCs w:val="20"/>
        </w:rPr>
        <w:t xml:space="preserve"> states: </w:t>
      </w:r>
      <w:r w:rsidRPr="009310B7">
        <w:rPr>
          <w:sz w:val="20"/>
          <w:szCs w:val="20"/>
        </w:rPr>
        <w:t>“…</w:t>
      </w:r>
      <w:r w:rsidRPr="009310B7">
        <w:rPr>
          <w:rFonts w:cs="Arial"/>
          <w:color w:val="000000"/>
          <w:sz w:val="20"/>
          <w:szCs w:val="20"/>
        </w:rPr>
        <w:t>Full-time and part-time faculty at institutions of higher education, including adjunct faculty, are eligible to teach program courses.”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647B94"/>
    <w:multiLevelType w:val="hybridMultilevel"/>
    <w:tmpl w:val="6AA0DBA2"/>
    <w:lvl w:ilvl="0" w:tplc="ADCAC7C6">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4A270524"/>
    <w:multiLevelType w:val="hybridMultilevel"/>
    <w:tmpl w:val="A9489C58"/>
    <w:lvl w:ilvl="0" w:tplc="859297F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2744DA"/>
    <w:multiLevelType w:val="hybridMultilevel"/>
    <w:tmpl w:val="24F65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300"/>
    <w:rsid w:val="0017668D"/>
    <w:rsid w:val="00187C58"/>
    <w:rsid w:val="001A3183"/>
    <w:rsid w:val="001E4541"/>
    <w:rsid w:val="00270D8F"/>
    <w:rsid w:val="00281F75"/>
    <w:rsid w:val="002E06A8"/>
    <w:rsid w:val="00307D73"/>
    <w:rsid w:val="0031555D"/>
    <w:rsid w:val="00415FAA"/>
    <w:rsid w:val="00416FD5"/>
    <w:rsid w:val="004D1DD0"/>
    <w:rsid w:val="004D42A3"/>
    <w:rsid w:val="004F4515"/>
    <w:rsid w:val="0051181C"/>
    <w:rsid w:val="0058583B"/>
    <w:rsid w:val="005B1792"/>
    <w:rsid w:val="005D4A5F"/>
    <w:rsid w:val="005F1705"/>
    <w:rsid w:val="0060526E"/>
    <w:rsid w:val="00640DC3"/>
    <w:rsid w:val="00676F49"/>
    <w:rsid w:val="00692256"/>
    <w:rsid w:val="006C081E"/>
    <w:rsid w:val="00734F30"/>
    <w:rsid w:val="007678D2"/>
    <w:rsid w:val="00774327"/>
    <w:rsid w:val="007B1A2B"/>
    <w:rsid w:val="00804C4A"/>
    <w:rsid w:val="008671B7"/>
    <w:rsid w:val="008A1DA0"/>
    <w:rsid w:val="008B4551"/>
    <w:rsid w:val="008D706B"/>
    <w:rsid w:val="008D75C8"/>
    <w:rsid w:val="008F66C4"/>
    <w:rsid w:val="009127C8"/>
    <w:rsid w:val="009310B7"/>
    <w:rsid w:val="009429DC"/>
    <w:rsid w:val="009538DD"/>
    <w:rsid w:val="00955DB4"/>
    <w:rsid w:val="00974C8A"/>
    <w:rsid w:val="009D5C01"/>
    <w:rsid w:val="00A35B66"/>
    <w:rsid w:val="00A556D7"/>
    <w:rsid w:val="00AD5822"/>
    <w:rsid w:val="00B477EA"/>
    <w:rsid w:val="00B57EEE"/>
    <w:rsid w:val="00B77300"/>
    <w:rsid w:val="00BA7AA5"/>
    <w:rsid w:val="00BE7714"/>
    <w:rsid w:val="00C502FD"/>
    <w:rsid w:val="00C5269A"/>
    <w:rsid w:val="00C740AF"/>
    <w:rsid w:val="00C92E62"/>
    <w:rsid w:val="00C9375A"/>
    <w:rsid w:val="00CD39B8"/>
    <w:rsid w:val="00D41539"/>
    <w:rsid w:val="00D76F2D"/>
    <w:rsid w:val="00D90753"/>
    <w:rsid w:val="00D949C0"/>
    <w:rsid w:val="00DA3F60"/>
    <w:rsid w:val="00DF0349"/>
    <w:rsid w:val="00DF67D1"/>
    <w:rsid w:val="00E114B3"/>
    <w:rsid w:val="00E30051"/>
    <w:rsid w:val="00E735BE"/>
    <w:rsid w:val="00E82168"/>
    <w:rsid w:val="00F52144"/>
    <w:rsid w:val="00FC6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376B4B65-752B-49B9-853A-A80C6C3E6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73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B4551"/>
    <w:pPr>
      <w:ind w:left="720"/>
      <w:contextualSpacing/>
    </w:pPr>
  </w:style>
  <w:style w:type="paragraph" w:styleId="FootnoteText">
    <w:name w:val="footnote text"/>
    <w:basedOn w:val="Normal"/>
    <w:link w:val="FootnoteTextChar"/>
    <w:uiPriority w:val="99"/>
    <w:semiHidden/>
    <w:unhideWhenUsed/>
    <w:rsid w:val="009127C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27C8"/>
    <w:rPr>
      <w:sz w:val="20"/>
      <w:szCs w:val="20"/>
    </w:rPr>
  </w:style>
  <w:style w:type="character" w:styleId="FootnoteReference">
    <w:name w:val="footnote reference"/>
    <w:basedOn w:val="DefaultParagraphFont"/>
    <w:uiPriority w:val="99"/>
    <w:semiHidden/>
    <w:unhideWhenUsed/>
    <w:rsid w:val="009127C8"/>
    <w:rPr>
      <w:vertAlign w:val="superscript"/>
    </w:rPr>
  </w:style>
  <w:style w:type="paragraph" w:customStyle="1" w:styleId="Default">
    <w:name w:val="Default"/>
    <w:rsid w:val="00DF67D1"/>
    <w:pPr>
      <w:autoSpaceDE w:val="0"/>
      <w:autoSpaceDN w:val="0"/>
      <w:adjustRightInd w:val="0"/>
      <w:spacing w:after="0" w:line="240" w:lineRule="auto"/>
    </w:pPr>
    <w:rPr>
      <w:rFonts w:ascii="Cambria" w:hAnsi="Cambria" w:cs="Cambria"/>
      <w:color w:val="000000"/>
      <w:sz w:val="24"/>
      <w:szCs w:val="24"/>
    </w:rPr>
  </w:style>
  <w:style w:type="character" w:styleId="Hyperlink">
    <w:name w:val="Hyperlink"/>
    <w:basedOn w:val="DefaultParagraphFont"/>
    <w:uiPriority w:val="99"/>
    <w:unhideWhenUsed/>
    <w:rsid w:val="009310B7"/>
    <w:rPr>
      <w:color w:val="0000FF" w:themeColor="hyperlink"/>
      <w:u w:val="single"/>
    </w:rPr>
  </w:style>
  <w:style w:type="paragraph" w:styleId="Header">
    <w:name w:val="header"/>
    <w:basedOn w:val="Normal"/>
    <w:link w:val="HeaderChar"/>
    <w:uiPriority w:val="99"/>
    <w:unhideWhenUsed/>
    <w:rsid w:val="00640D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0DC3"/>
  </w:style>
  <w:style w:type="paragraph" w:styleId="Footer">
    <w:name w:val="footer"/>
    <w:basedOn w:val="Normal"/>
    <w:link w:val="FooterChar"/>
    <w:uiPriority w:val="99"/>
    <w:unhideWhenUsed/>
    <w:rsid w:val="00640D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0DC3"/>
  </w:style>
  <w:style w:type="paragraph" w:styleId="BalloonText">
    <w:name w:val="Balloon Text"/>
    <w:basedOn w:val="Normal"/>
    <w:link w:val="BalloonTextChar"/>
    <w:uiPriority w:val="99"/>
    <w:semiHidden/>
    <w:unhideWhenUsed/>
    <w:rsid w:val="006C08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081E"/>
    <w:rPr>
      <w:rFonts w:ascii="Segoe UI" w:hAnsi="Segoe UI" w:cs="Segoe UI"/>
      <w:sz w:val="18"/>
      <w:szCs w:val="18"/>
    </w:rPr>
  </w:style>
  <w:style w:type="character" w:styleId="FollowedHyperlink">
    <w:name w:val="FollowedHyperlink"/>
    <w:basedOn w:val="DefaultParagraphFont"/>
    <w:uiPriority w:val="99"/>
    <w:semiHidden/>
    <w:unhideWhenUsed/>
    <w:rsid w:val="009D5C01"/>
    <w:rPr>
      <w:color w:val="800080" w:themeColor="followedHyperlink"/>
      <w:u w:val="single"/>
    </w:rPr>
  </w:style>
  <w:style w:type="table" w:styleId="ListTable2-Accent1">
    <w:name w:val="List Table 2 Accent 1"/>
    <w:basedOn w:val="TableNormal"/>
    <w:uiPriority w:val="47"/>
    <w:rsid w:val="001E4541"/>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PlainTable2">
    <w:name w:val="Plain Table 2"/>
    <w:basedOn w:val="TableNormal"/>
    <w:uiPriority w:val="42"/>
    <w:rsid w:val="001E454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ListTable2-Accent3">
    <w:name w:val="List Table 2 Accent 3"/>
    <w:basedOn w:val="TableNormal"/>
    <w:uiPriority w:val="47"/>
    <w:rsid w:val="00DF0349"/>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DF0349"/>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4">
    <w:name w:val="List Table 2 Accent 4"/>
    <w:basedOn w:val="TableNormal"/>
    <w:uiPriority w:val="47"/>
    <w:rsid w:val="00DF0349"/>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75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leg.wa.gov/RCW/default.aspx?cite=28A.600.30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a-dualcredit.wikispaces.com/Fiscal+Policies%2C+Models%2C+and+Practic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12.wa.us/SecondaryEducation/CareerCollegeReadiness/DualCredit/default.asp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pp.leg.wa.gov/RCW/default.aspx?cite=28A.600.290" TargetMode="External"/><Relationship Id="rId4" Type="http://schemas.openxmlformats.org/officeDocument/2006/relationships/settings" Target="settings.xml"/><Relationship Id="rId9" Type="http://schemas.openxmlformats.org/officeDocument/2006/relationships/hyperlink" Target="http://app.leg.wa.gov/WAC/default.aspx?cite=392-169"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k12.wa.us/SecondaryEducation/CareerCollegeReadiness/RunningStart.aspx" TargetMode="External"/><Relationship Id="rId2" Type="http://schemas.openxmlformats.org/officeDocument/2006/relationships/hyperlink" Target="http://k12.wa.us/SecondaryEducation/CareerCollegeReadiness/DualCredit/CollegeEnrollment.aspx" TargetMode="External"/><Relationship Id="rId1" Type="http://schemas.openxmlformats.org/officeDocument/2006/relationships/hyperlink" Target="http://k12.wa.us/secondaryEducation/careercollegereadiness/dualcredit/default.aspx" TargetMode="External"/><Relationship Id="rId4" Type="http://schemas.openxmlformats.org/officeDocument/2006/relationships/hyperlink" Target="http://app.leg.wa.gov/RCW/default.aspx?cite=28A.600.2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8D342B3-593C-4CFF-9B73-9A38719BD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882</Words>
  <Characters>5032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Washington Student Achievement Council</Company>
  <LinksUpToDate>false</LinksUpToDate>
  <CharactersWithSpaces>5903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Noreen Light</dc:creator>
  <cp:lastModifiedBy>Light, Noreen (WSAC)</cp:lastModifiedBy>
  <cp:revision>2</cp:revision>
  <cp:lastPrinted>2015-02-18T16:26:00Z</cp:lastPrinted>
  <dcterms:created xsi:type="dcterms:W3CDTF">2015-02-25T21:57:00Z</dcterms:created>
  <dcterms:modified xsi:type="dcterms:W3CDTF">2015-02-25T21:57:00Z</dcterms:modified>
</cp:coreProperties>
</file>